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74" w:rsidRDefault="00877074" w:rsidP="006A00F3">
      <w:pPr>
        <w:pStyle w:val="DeptBullets"/>
        <w:numPr>
          <w:ilvl w:val="0"/>
          <w:numId w:val="0"/>
        </w:numPr>
        <w:tabs>
          <w:tab w:val="left" w:pos="4253"/>
        </w:tabs>
        <w:jc w:val="center"/>
      </w:pPr>
      <w:r>
        <w:t xml:space="preserve">HEADS OF TERMS: </w:t>
      </w:r>
      <w:r w:rsidRPr="0004354A">
        <w:t xml:space="preserve">COMMUNITY USE </w:t>
      </w:r>
      <w:r>
        <w:t>AGREEMENT (CUA</w:t>
      </w:r>
      <w:r w:rsidRPr="0004354A">
        <w:t>)</w:t>
      </w:r>
    </w:p>
    <w:tbl>
      <w:tblPr>
        <w:tblW w:w="9540" w:type="dxa"/>
        <w:tblInd w:w="-106" w:type="dxa"/>
        <w:tblLook w:val="00A0"/>
      </w:tblPr>
      <w:tblGrid>
        <w:gridCol w:w="5066"/>
        <w:gridCol w:w="4474"/>
      </w:tblGrid>
      <w:tr w:rsidR="00877074">
        <w:tc>
          <w:tcPr>
            <w:tcW w:w="5066" w:type="dxa"/>
          </w:tcPr>
          <w:p w:rsidR="00877074" w:rsidRDefault="00877074" w:rsidP="0005427A">
            <w:pPr>
              <w:pStyle w:val="DeptBullets"/>
              <w:numPr>
                <w:ilvl w:val="0"/>
                <w:numId w:val="8"/>
              </w:numPr>
              <w:tabs>
                <w:tab w:val="left" w:pos="3969"/>
              </w:tabs>
              <w:ind w:left="426" w:hanging="426"/>
            </w:pPr>
            <w:r>
              <w:t>Tenant</w:t>
            </w:r>
          </w:p>
        </w:tc>
        <w:tc>
          <w:tcPr>
            <w:tcW w:w="4474" w:type="dxa"/>
          </w:tcPr>
          <w:p w:rsidR="00877074" w:rsidRDefault="00877074" w:rsidP="0005427A">
            <w:pPr>
              <w:pStyle w:val="DeptBullets"/>
              <w:numPr>
                <w:ilvl w:val="0"/>
                <w:numId w:val="0"/>
              </w:numPr>
              <w:spacing w:after="0"/>
              <w:ind w:right="72"/>
            </w:pPr>
            <w:r>
              <w:t>Avanti Schools Trust</w:t>
            </w:r>
          </w:p>
          <w:p w:rsidR="00877074" w:rsidRDefault="00877074" w:rsidP="0005427A">
            <w:pPr>
              <w:pStyle w:val="DeptBullets"/>
              <w:numPr>
                <w:ilvl w:val="0"/>
                <w:numId w:val="0"/>
              </w:numPr>
              <w:spacing w:after="0"/>
              <w:ind w:right="72"/>
            </w:pPr>
            <w:proofErr w:type="spellStart"/>
            <w:r>
              <w:t>Camrose</w:t>
            </w:r>
            <w:proofErr w:type="spellEnd"/>
            <w:r>
              <w:t xml:space="preserve"> Avenue</w:t>
            </w:r>
          </w:p>
          <w:p w:rsidR="00877074" w:rsidRDefault="00877074" w:rsidP="0005427A">
            <w:pPr>
              <w:pStyle w:val="DeptBullets"/>
              <w:numPr>
                <w:ilvl w:val="0"/>
                <w:numId w:val="0"/>
              </w:numPr>
              <w:spacing w:after="0"/>
              <w:ind w:right="72"/>
            </w:pPr>
            <w:r>
              <w:t>Edgware</w:t>
            </w:r>
          </w:p>
          <w:p w:rsidR="00877074" w:rsidRDefault="00877074" w:rsidP="0005427A">
            <w:pPr>
              <w:pStyle w:val="DeptBullets"/>
              <w:numPr>
                <w:ilvl w:val="0"/>
                <w:numId w:val="0"/>
              </w:numPr>
              <w:spacing w:after="0"/>
              <w:ind w:right="72"/>
            </w:pPr>
            <w:r>
              <w:t>Middlesex</w:t>
            </w:r>
          </w:p>
          <w:p w:rsidR="00877074" w:rsidRDefault="00877074" w:rsidP="0005427A">
            <w:pPr>
              <w:pStyle w:val="DeptBullets"/>
              <w:numPr>
                <w:ilvl w:val="0"/>
                <w:numId w:val="0"/>
              </w:numPr>
              <w:spacing w:after="0"/>
              <w:ind w:right="72"/>
            </w:pPr>
            <w:r>
              <w:t>HA8 6ES</w:t>
            </w:r>
          </w:p>
          <w:p w:rsidR="00877074" w:rsidRDefault="00877074" w:rsidP="0005427A">
            <w:pPr>
              <w:pStyle w:val="DeptBullets"/>
              <w:numPr>
                <w:ilvl w:val="0"/>
                <w:numId w:val="0"/>
              </w:numPr>
              <w:spacing w:after="0"/>
              <w:ind w:right="72"/>
            </w:pPr>
            <w:r>
              <w:t>Company No : 7506598</w:t>
            </w:r>
          </w:p>
          <w:p w:rsidR="00877074" w:rsidRDefault="00877074" w:rsidP="0005427A">
            <w:pPr>
              <w:pStyle w:val="DeptBullets"/>
              <w:numPr>
                <w:ilvl w:val="0"/>
                <w:numId w:val="0"/>
              </w:numPr>
              <w:ind w:right="72"/>
            </w:pPr>
          </w:p>
          <w:p w:rsidR="00877074" w:rsidRDefault="00877074" w:rsidP="0005427A">
            <w:pPr>
              <w:pStyle w:val="DeptBullets"/>
              <w:numPr>
                <w:ilvl w:val="0"/>
                <w:numId w:val="0"/>
              </w:numPr>
              <w:spacing w:after="0"/>
              <w:ind w:left="259" w:right="72"/>
            </w:pPr>
          </w:p>
        </w:tc>
      </w:tr>
      <w:tr w:rsidR="00877074">
        <w:tc>
          <w:tcPr>
            <w:tcW w:w="5066" w:type="dxa"/>
          </w:tcPr>
          <w:p w:rsidR="00877074" w:rsidRDefault="00877074" w:rsidP="0005427A">
            <w:pPr>
              <w:pStyle w:val="DeptBullets"/>
              <w:numPr>
                <w:ilvl w:val="0"/>
                <w:numId w:val="8"/>
              </w:numPr>
              <w:tabs>
                <w:tab w:val="left" w:pos="3969"/>
              </w:tabs>
              <w:ind w:left="426" w:hanging="426"/>
            </w:pPr>
            <w:r>
              <w:t>Tenants Agent</w:t>
            </w:r>
          </w:p>
        </w:tc>
        <w:tc>
          <w:tcPr>
            <w:tcW w:w="4474" w:type="dxa"/>
          </w:tcPr>
          <w:p w:rsidR="00877074" w:rsidRDefault="00877074" w:rsidP="0005427A">
            <w:pPr>
              <w:pStyle w:val="DeptBullets"/>
              <w:numPr>
                <w:ilvl w:val="0"/>
                <w:numId w:val="0"/>
              </w:numPr>
              <w:ind w:right="72"/>
            </w:pPr>
            <w:r>
              <w:t>Justin Anderson, DTZ</w:t>
            </w:r>
          </w:p>
        </w:tc>
      </w:tr>
      <w:tr w:rsidR="00877074">
        <w:tc>
          <w:tcPr>
            <w:tcW w:w="5066" w:type="dxa"/>
          </w:tcPr>
          <w:p w:rsidR="00877074" w:rsidRDefault="00877074" w:rsidP="0005427A">
            <w:pPr>
              <w:pStyle w:val="DeptBullets"/>
              <w:numPr>
                <w:ilvl w:val="0"/>
                <w:numId w:val="8"/>
              </w:numPr>
              <w:tabs>
                <w:tab w:val="left" w:pos="3969"/>
              </w:tabs>
              <w:ind w:left="426" w:hanging="426"/>
            </w:pPr>
            <w:r>
              <w:t>Tenants Lawyer</w:t>
            </w:r>
          </w:p>
        </w:tc>
        <w:tc>
          <w:tcPr>
            <w:tcW w:w="4474" w:type="dxa"/>
          </w:tcPr>
          <w:p w:rsidR="00877074" w:rsidRDefault="00877074" w:rsidP="0005427A">
            <w:pPr>
              <w:pStyle w:val="DeptBullets"/>
              <w:numPr>
                <w:ilvl w:val="0"/>
                <w:numId w:val="0"/>
              </w:numPr>
              <w:ind w:right="72" w:hanging="4"/>
            </w:pPr>
            <w:proofErr w:type="spellStart"/>
            <w:r w:rsidRPr="0004354A">
              <w:t>Trowers&amp;Hamlins</w:t>
            </w:r>
            <w:proofErr w:type="spellEnd"/>
            <w:r w:rsidRPr="0004354A">
              <w:t xml:space="preserve"> LLP of 3 </w:t>
            </w:r>
            <w:proofErr w:type="spellStart"/>
            <w:r w:rsidRPr="0004354A">
              <w:t>Bunhill</w:t>
            </w:r>
            <w:proofErr w:type="spellEnd"/>
            <w:r w:rsidRPr="0004354A">
              <w:t xml:space="preserve"> Row London EC1Y 8YZ (marked for the attention of </w:t>
            </w:r>
            <w:proofErr w:type="spellStart"/>
            <w:r w:rsidRPr="0004354A">
              <w:t>Sangita</w:t>
            </w:r>
            <w:proofErr w:type="spellEnd"/>
            <w:r w:rsidRPr="0004354A">
              <w:t xml:space="preserve"> Unadkat</w:t>
            </w:r>
            <w:hyperlink r:id="rId7" w:history="1">
              <w:r w:rsidRPr="0005427A">
                <w:rPr>
                  <w:rStyle w:val="Hyperlink"/>
                  <w:rFonts w:cs="Arial"/>
                </w:rPr>
                <w:t>SUnadkat@trowers.com</w:t>
              </w:r>
            </w:hyperlink>
          </w:p>
          <w:p w:rsidR="00877074" w:rsidRDefault="00877074" w:rsidP="0005427A">
            <w:pPr>
              <w:pStyle w:val="DeptBullets"/>
              <w:numPr>
                <w:ilvl w:val="0"/>
                <w:numId w:val="0"/>
              </w:numPr>
              <w:ind w:right="72" w:hanging="4"/>
            </w:pPr>
          </w:p>
        </w:tc>
      </w:tr>
      <w:tr w:rsidR="00877074">
        <w:tc>
          <w:tcPr>
            <w:tcW w:w="5066" w:type="dxa"/>
          </w:tcPr>
          <w:p w:rsidR="00877074" w:rsidRDefault="00877074" w:rsidP="0005427A">
            <w:pPr>
              <w:pStyle w:val="DeptBullets"/>
              <w:numPr>
                <w:ilvl w:val="0"/>
                <w:numId w:val="0"/>
              </w:numPr>
              <w:tabs>
                <w:tab w:val="left" w:pos="3969"/>
              </w:tabs>
              <w:ind w:left="426"/>
            </w:pPr>
          </w:p>
        </w:tc>
        <w:tc>
          <w:tcPr>
            <w:tcW w:w="4474" w:type="dxa"/>
          </w:tcPr>
          <w:p w:rsidR="00877074" w:rsidRDefault="00877074" w:rsidP="0005427A">
            <w:pPr>
              <w:pStyle w:val="DeptBullets"/>
              <w:numPr>
                <w:ilvl w:val="0"/>
                <w:numId w:val="0"/>
              </w:numPr>
              <w:ind w:right="72"/>
            </w:pPr>
            <w:r>
              <w:t>[Plan needed?] As per Head Lease already provided</w:t>
            </w:r>
          </w:p>
        </w:tc>
      </w:tr>
      <w:tr w:rsidR="00877074">
        <w:tc>
          <w:tcPr>
            <w:tcW w:w="5066" w:type="dxa"/>
          </w:tcPr>
          <w:p w:rsidR="00877074" w:rsidRDefault="00877074" w:rsidP="0005427A">
            <w:pPr>
              <w:pStyle w:val="DeptBullets"/>
              <w:numPr>
                <w:ilvl w:val="0"/>
                <w:numId w:val="0"/>
              </w:numPr>
              <w:tabs>
                <w:tab w:val="left" w:pos="4253"/>
              </w:tabs>
              <w:ind w:left="720" w:hanging="720"/>
            </w:pPr>
            <w:r>
              <w:t>4. Landlord</w:t>
            </w:r>
          </w:p>
        </w:tc>
        <w:tc>
          <w:tcPr>
            <w:tcW w:w="4474" w:type="dxa"/>
          </w:tcPr>
          <w:p w:rsidR="00877074" w:rsidRDefault="00877074" w:rsidP="0005427A">
            <w:pPr>
              <w:pStyle w:val="DeptBullets"/>
              <w:numPr>
                <w:ilvl w:val="0"/>
                <w:numId w:val="0"/>
              </w:numPr>
              <w:ind w:right="72"/>
            </w:pPr>
            <w:r w:rsidRPr="0004354A">
              <w:t>LB of Harrow</w:t>
            </w:r>
            <w:r>
              <w:t xml:space="preserve"> and its nominees (to be more broadly defined to include )</w:t>
            </w:r>
          </w:p>
        </w:tc>
      </w:tr>
      <w:tr w:rsidR="00877074">
        <w:tc>
          <w:tcPr>
            <w:tcW w:w="5066" w:type="dxa"/>
          </w:tcPr>
          <w:p w:rsidR="00877074" w:rsidRDefault="00877074" w:rsidP="0005427A">
            <w:pPr>
              <w:pStyle w:val="DeptBullets"/>
              <w:numPr>
                <w:ilvl w:val="0"/>
                <w:numId w:val="0"/>
              </w:numPr>
              <w:tabs>
                <w:tab w:val="left" w:pos="4253"/>
              </w:tabs>
              <w:ind w:left="720" w:hanging="720"/>
            </w:pPr>
            <w:r>
              <w:t>5. Landlords  Agent</w:t>
            </w:r>
          </w:p>
        </w:tc>
        <w:tc>
          <w:tcPr>
            <w:tcW w:w="4474" w:type="dxa"/>
          </w:tcPr>
          <w:p w:rsidR="00877074" w:rsidRDefault="00877074" w:rsidP="0005427A">
            <w:pPr>
              <w:pStyle w:val="DeptBullets"/>
              <w:numPr>
                <w:ilvl w:val="0"/>
                <w:numId w:val="0"/>
              </w:numPr>
              <w:ind w:right="72"/>
            </w:pPr>
            <w:r>
              <w:t>As nominated by the Landlord from time to time</w:t>
            </w:r>
          </w:p>
        </w:tc>
      </w:tr>
      <w:tr w:rsidR="00877074">
        <w:tc>
          <w:tcPr>
            <w:tcW w:w="5066" w:type="dxa"/>
          </w:tcPr>
          <w:p w:rsidR="00877074" w:rsidRDefault="00877074" w:rsidP="0005427A">
            <w:pPr>
              <w:pStyle w:val="DeptBullets"/>
              <w:numPr>
                <w:ilvl w:val="0"/>
                <w:numId w:val="0"/>
              </w:numPr>
              <w:tabs>
                <w:tab w:val="left" w:pos="4253"/>
              </w:tabs>
              <w:ind w:left="720" w:hanging="720"/>
            </w:pPr>
            <w:r>
              <w:t>6. Landlords Lawyer</w:t>
            </w:r>
          </w:p>
        </w:tc>
        <w:tc>
          <w:tcPr>
            <w:tcW w:w="4474" w:type="dxa"/>
          </w:tcPr>
          <w:p w:rsidR="00877074" w:rsidRDefault="00877074" w:rsidP="0005427A">
            <w:pPr>
              <w:pStyle w:val="DeptBullets"/>
              <w:numPr>
                <w:ilvl w:val="0"/>
                <w:numId w:val="0"/>
              </w:numPr>
              <w:ind w:right="72"/>
            </w:pPr>
            <w:r>
              <w:t>David Wardle</w:t>
            </w:r>
          </w:p>
          <w:p w:rsidR="00877074" w:rsidRDefault="00877074" w:rsidP="0005427A">
            <w:pPr>
              <w:pStyle w:val="DeptBullets"/>
              <w:numPr>
                <w:ilvl w:val="0"/>
                <w:numId w:val="0"/>
              </w:numPr>
              <w:ind w:right="72"/>
            </w:pPr>
            <w:r>
              <w:t>Bevan Brittan</w:t>
            </w:r>
          </w:p>
        </w:tc>
      </w:tr>
      <w:tr w:rsidR="00877074">
        <w:tc>
          <w:tcPr>
            <w:tcW w:w="5066" w:type="dxa"/>
          </w:tcPr>
          <w:p w:rsidR="00877074" w:rsidRDefault="00877074" w:rsidP="0005427A">
            <w:pPr>
              <w:pStyle w:val="DeptBullets"/>
              <w:numPr>
                <w:ilvl w:val="0"/>
                <w:numId w:val="0"/>
              </w:numPr>
              <w:tabs>
                <w:tab w:val="left" w:pos="4253"/>
              </w:tabs>
              <w:ind w:left="720" w:hanging="720"/>
            </w:pPr>
            <w:r>
              <w:t>7. Property</w:t>
            </w:r>
          </w:p>
        </w:tc>
        <w:tc>
          <w:tcPr>
            <w:tcW w:w="4474" w:type="dxa"/>
          </w:tcPr>
          <w:p w:rsidR="00877074" w:rsidRDefault="00877074" w:rsidP="0005427A">
            <w:pPr>
              <w:pStyle w:val="DeptBullets"/>
              <w:numPr>
                <w:ilvl w:val="0"/>
                <w:numId w:val="0"/>
              </w:numPr>
              <w:ind w:right="72"/>
            </w:pPr>
            <w:r>
              <w:t xml:space="preserve">Avanti House School, </w:t>
            </w:r>
            <w:bookmarkStart w:id="0" w:name="_GoBack"/>
            <w:bookmarkEnd w:id="0"/>
            <w:proofErr w:type="spellStart"/>
            <w:r w:rsidRPr="0004354A">
              <w:t>Whitchurch</w:t>
            </w:r>
            <w:proofErr w:type="spellEnd"/>
            <w:r w:rsidRPr="0004354A">
              <w:t xml:space="preserve"> Playing Fields</w:t>
            </w:r>
            <w:r>
              <w:t xml:space="preserve"> </w:t>
            </w:r>
          </w:p>
        </w:tc>
      </w:tr>
      <w:tr w:rsidR="00877074">
        <w:tc>
          <w:tcPr>
            <w:tcW w:w="5066" w:type="dxa"/>
          </w:tcPr>
          <w:p w:rsidR="00877074" w:rsidRDefault="00877074" w:rsidP="0005427A">
            <w:pPr>
              <w:pStyle w:val="DeptBullets"/>
              <w:numPr>
                <w:ilvl w:val="0"/>
                <w:numId w:val="0"/>
              </w:numPr>
              <w:tabs>
                <w:tab w:val="left" w:pos="4253"/>
              </w:tabs>
              <w:ind w:left="720" w:hanging="720"/>
            </w:pPr>
            <w:r>
              <w:t>8.Facility</w:t>
            </w:r>
          </w:p>
          <w:p w:rsidR="00877074" w:rsidRDefault="00877074" w:rsidP="00377E95">
            <w:pPr>
              <w:pStyle w:val="DeptBullets"/>
              <w:numPr>
                <w:ilvl w:val="0"/>
                <w:numId w:val="0"/>
              </w:numPr>
              <w:tabs>
                <w:tab w:val="left" w:pos="4253"/>
              </w:tabs>
            </w:pPr>
          </w:p>
          <w:p w:rsidR="00877074" w:rsidRDefault="00877074" w:rsidP="00377E95">
            <w:pPr>
              <w:pStyle w:val="DeptBullets"/>
              <w:numPr>
                <w:ilvl w:val="0"/>
                <w:numId w:val="0"/>
              </w:numPr>
              <w:tabs>
                <w:tab w:val="left" w:pos="4253"/>
              </w:tabs>
            </w:pPr>
          </w:p>
          <w:p w:rsidR="00877074" w:rsidRDefault="00877074" w:rsidP="00377E95">
            <w:pPr>
              <w:pStyle w:val="DeptBullets"/>
              <w:numPr>
                <w:ilvl w:val="0"/>
                <w:numId w:val="0"/>
              </w:numPr>
              <w:tabs>
                <w:tab w:val="left" w:pos="4253"/>
              </w:tabs>
            </w:pPr>
          </w:p>
          <w:p w:rsidR="00877074" w:rsidRDefault="00877074" w:rsidP="00377E95">
            <w:pPr>
              <w:pStyle w:val="DeptBullets"/>
              <w:numPr>
                <w:ilvl w:val="0"/>
                <w:numId w:val="0"/>
              </w:numPr>
              <w:tabs>
                <w:tab w:val="left" w:pos="4253"/>
              </w:tabs>
            </w:pPr>
            <w:r>
              <w:t>9 Permitted Users</w:t>
            </w:r>
          </w:p>
        </w:tc>
        <w:tc>
          <w:tcPr>
            <w:tcW w:w="4474" w:type="dxa"/>
          </w:tcPr>
          <w:p w:rsidR="00877074" w:rsidRDefault="00877074" w:rsidP="0005427A">
            <w:pPr>
              <w:pStyle w:val="DeptBullets"/>
              <w:numPr>
                <w:ilvl w:val="0"/>
                <w:numId w:val="0"/>
              </w:numPr>
              <w:spacing w:after="0"/>
              <w:ind w:right="72"/>
              <w:jc w:val="both"/>
            </w:pPr>
            <w:r>
              <w:t xml:space="preserve">The </w:t>
            </w:r>
            <w:proofErr w:type="spellStart"/>
            <w:r>
              <w:t>Whitchurch</w:t>
            </w:r>
            <w:proofErr w:type="spellEnd"/>
            <w:r>
              <w:t xml:space="preserve"> Playing Fields, and school sports hall and MUGAs (the “Facility”) plus associated changing facilities (Schedule 1)</w:t>
            </w:r>
            <w:proofErr w:type="gramStart"/>
            <w:r>
              <w:t>,(</w:t>
            </w:r>
            <w:proofErr w:type="gramEnd"/>
            <w:r>
              <w:t xml:space="preserve"> or any individual part(s) that comprise the Facility.</w:t>
            </w:r>
          </w:p>
          <w:p w:rsidR="00877074" w:rsidRDefault="00877074" w:rsidP="0005427A">
            <w:pPr>
              <w:pStyle w:val="DeptBullets"/>
              <w:numPr>
                <w:ilvl w:val="0"/>
                <w:numId w:val="0"/>
              </w:numPr>
              <w:spacing w:after="0"/>
              <w:ind w:left="432" w:right="72"/>
              <w:jc w:val="both"/>
            </w:pPr>
          </w:p>
          <w:p w:rsidR="00877074" w:rsidRDefault="00877074" w:rsidP="0005427A">
            <w:pPr>
              <w:pStyle w:val="DeptBullets"/>
              <w:numPr>
                <w:ilvl w:val="0"/>
                <w:numId w:val="0"/>
              </w:numPr>
              <w:spacing w:after="0"/>
              <w:ind w:left="432" w:right="72"/>
              <w:jc w:val="both"/>
            </w:pPr>
          </w:p>
          <w:p w:rsidR="00877074" w:rsidRDefault="00877074" w:rsidP="00000745">
            <w:pPr>
              <w:pStyle w:val="DeptBullets"/>
              <w:numPr>
                <w:ilvl w:val="0"/>
                <w:numId w:val="0"/>
              </w:numPr>
              <w:spacing w:after="0"/>
              <w:ind w:left="720" w:right="72" w:hanging="360"/>
              <w:jc w:val="both"/>
            </w:pPr>
            <w:r>
              <w:t>As defined in schedule 2 and such other nominees of the Landlord</w:t>
            </w:r>
          </w:p>
        </w:tc>
      </w:tr>
      <w:tr w:rsidR="00877074">
        <w:trPr>
          <w:trHeight w:val="584"/>
        </w:trPr>
        <w:tc>
          <w:tcPr>
            <w:tcW w:w="5066" w:type="dxa"/>
          </w:tcPr>
          <w:p w:rsidR="00877074" w:rsidRDefault="00877074" w:rsidP="0005427A">
            <w:pPr>
              <w:pStyle w:val="DeptBullets"/>
              <w:numPr>
                <w:ilvl w:val="0"/>
                <w:numId w:val="0"/>
              </w:numPr>
              <w:tabs>
                <w:tab w:val="left" w:pos="4253"/>
              </w:tabs>
              <w:ind w:left="720" w:hanging="720"/>
            </w:pPr>
            <w:r>
              <w:lastRenderedPageBreak/>
              <w:t>10. Permitted Hours</w:t>
            </w:r>
          </w:p>
        </w:tc>
        <w:tc>
          <w:tcPr>
            <w:tcW w:w="4474" w:type="dxa"/>
          </w:tcPr>
          <w:p w:rsidR="00877074" w:rsidRDefault="00877074" w:rsidP="00035F05">
            <w:pPr>
              <w:pStyle w:val="DeptBullets"/>
              <w:numPr>
                <w:ilvl w:val="0"/>
                <w:numId w:val="0"/>
              </w:numPr>
              <w:ind w:right="72" w:hanging="36"/>
              <w:jc w:val="both"/>
            </w:pPr>
            <w:r>
              <w:t xml:space="preserve">Term Time is defined as the term dates for the Avanti House School. </w:t>
            </w:r>
          </w:p>
          <w:p w:rsidR="00877074" w:rsidRDefault="00877074" w:rsidP="002E143A">
            <w:pPr>
              <w:pStyle w:val="DeptBullets"/>
              <w:numPr>
                <w:ilvl w:val="0"/>
                <w:numId w:val="0"/>
              </w:numPr>
              <w:ind w:left="-36" w:right="72"/>
              <w:jc w:val="both"/>
            </w:pPr>
            <w:r>
              <w:t>School Core Time is defined as 9am-5pm on any weekday during Term Time.</w:t>
            </w:r>
          </w:p>
          <w:p w:rsidR="00877074" w:rsidRDefault="00877074" w:rsidP="002C1236">
            <w:pPr>
              <w:pStyle w:val="DeptBullets"/>
              <w:numPr>
                <w:ilvl w:val="0"/>
                <w:numId w:val="0"/>
              </w:numPr>
              <w:ind w:left="-36" w:right="72"/>
              <w:jc w:val="both"/>
            </w:pPr>
            <w:r>
              <w:t>Peak Hours is defined as 5-10pm on weekdays and 9am-10pm on weekends, and Bank Holidays. And 9am to 10pm outside the schools core term time</w:t>
            </w:r>
          </w:p>
          <w:p w:rsidR="00877074" w:rsidRDefault="00877074" w:rsidP="00035F05">
            <w:pPr>
              <w:pStyle w:val="DeptBullets"/>
              <w:numPr>
                <w:ilvl w:val="0"/>
                <w:numId w:val="0"/>
              </w:numPr>
              <w:ind w:right="72" w:hanging="36"/>
              <w:jc w:val="both"/>
            </w:pPr>
            <w:r>
              <w:t xml:space="preserve">Provided that there is no conflict with the schools scheduled curriculum the Tenant will be obliged to make available for Community use and hire the Facility during Term Time, School Core Time and Peak Hours, as specifically defined in Schedule 2. </w:t>
            </w:r>
          </w:p>
          <w:p w:rsidR="00877074" w:rsidRDefault="00877074" w:rsidP="002C1236">
            <w:pPr>
              <w:pStyle w:val="DeptBullets"/>
              <w:numPr>
                <w:ilvl w:val="0"/>
                <w:numId w:val="0"/>
              </w:numPr>
              <w:tabs>
                <w:tab w:val="left" w:pos="4253"/>
              </w:tabs>
              <w:spacing w:after="0"/>
              <w:ind w:left="342" w:right="72"/>
            </w:pPr>
          </w:p>
        </w:tc>
      </w:tr>
      <w:tr w:rsidR="00877074">
        <w:tc>
          <w:tcPr>
            <w:tcW w:w="5066" w:type="dxa"/>
          </w:tcPr>
          <w:p w:rsidR="00877074" w:rsidRDefault="00877074" w:rsidP="0005427A">
            <w:pPr>
              <w:pStyle w:val="DeptBullets"/>
              <w:numPr>
                <w:ilvl w:val="0"/>
                <w:numId w:val="0"/>
              </w:numPr>
              <w:tabs>
                <w:tab w:val="left" w:pos="4253"/>
              </w:tabs>
              <w:ind w:left="720" w:hanging="720"/>
            </w:pPr>
            <w:r>
              <w:t>11. Usage Agreement and Review</w:t>
            </w:r>
          </w:p>
        </w:tc>
        <w:tc>
          <w:tcPr>
            <w:tcW w:w="4474" w:type="dxa"/>
          </w:tcPr>
          <w:p w:rsidR="00877074" w:rsidRDefault="00877074" w:rsidP="0005427A">
            <w:pPr>
              <w:pStyle w:val="DeptBullets"/>
              <w:numPr>
                <w:ilvl w:val="0"/>
                <w:numId w:val="0"/>
              </w:numPr>
              <w:spacing w:after="0"/>
              <w:ind w:right="72"/>
              <w:jc w:val="both"/>
            </w:pPr>
            <w:r>
              <w:t>The Charges to be based on Harrow Councils standard fees and charges as agreed and set annually as part of the councils budgeting process.</w:t>
            </w:r>
          </w:p>
          <w:p w:rsidR="00877074" w:rsidRDefault="00877074" w:rsidP="0005427A">
            <w:pPr>
              <w:pStyle w:val="DeptBullets"/>
              <w:numPr>
                <w:ilvl w:val="0"/>
                <w:numId w:val="0"/>
              </w:numPr>
              <w:spacing w:after="0"/>
              <w:ind w:left="432" w:right="72"/>
              <w:jc w:val="both"/>
            </w:pPr>
          </w:p>
        </w:tc>
      </w:tr>
      <w:tr w:rsidR="00877074">
        <w:tc>
          <w:tcPr>
            <w:tcW w:w="5066" w:type="dxa"/>
          </w:tcPr>
          <w:p w:rsidR="00877074" w:rsidRDefault="00877074" w:rsidP="0005427A">
            <w:pPr>
              <w:pStyle w:val="DeptBullets"/>
              <w:numPr>
                <w:ilvl w:val="0"/>
                <w:numId w:val="0"/>
              </w:numPr>
              <w:tabs>
                <w:tab w:val="left" w:pos="4253"/>
              </w:tabs>
              <w:ind w:left="720" w:hanging="720"/>
            </w:pPr>
            <w:r>
              <w:t>12. Permitted Use</w:t>
            </w:r>
          </w:p>
        </w:tc>
        <w:tc>
          <w:tcPr>
            <w:tcW w:w="4474" w:type="dxa"/>
          </w:tcPr>
          <w:p w:rsidR="00877074" w:rsidRDefault="00877074" w:rsidP="0005427A">
            <w:pPr>
              <w:pStyle w:val="DeptBullets"/>
              <w:numPr>
                <w:ilvl w:val="0"/>
                <w:numId w:val="0"/>
              </w:numPr>
              <w:ind w:right="72"/>
            </w:pPr>
            <w:r>
              <w:t>The Facility to be used for sporting and ancillary purposes and to increase the quality of sporting activity opportunities for the residents of Harrow.</w:t>
            </w:r>
          </w:p>
          <w:p w:rsidR="00877074" w:rsidRDefault="00877074" w:rsidP="000B1649">
            <w:pPr>
              <w:pStyle w:val="DeptBullets"/>
              <w:numPr>
                <w:ilvl w:val="0"/>
                <w:numId w:val="0"/>
              </w:numPr>
              <w:ind w:right="72"/>
            </w:pPr>
            <w:r>
              <w:t>The objective is to maximise the use of the Facility during peak use periods and school holidays.</w:t>
            </w:r>
          </w:p>
        </w:tc>
      </w:tr>
      <w:tr w:rsidR="00877074">
        <w:trPr>
          <w:trHeight w:val="1590"/>
        </w:trPr>
        <w:tc>
          <w:tcPr>
            <w:tcW w:w="5066" w:type="dxa"/>
          </w:tcPr>
          <w:p w:rsidR="00877074" w:rsidRDefault="00877074" w:rsidP="0005427A">
            <w:pPr>
              <w:pStyle w:val="DeptBullets"/>
              <w:numPr>
                <w:ilvl w:val="0"/>
                <w:numId w:val="0"/>
              </w:numPr>
              <w:tabs>
                <w:tab w:val="left" w:pos="4253"/>
              </w:tabs>
              <w:ind w:left="720" w:hanging="720"/>
            </w:pPr>
            <w:r>
              <w:t>13.Term/Termination /Assignment</w:t>
            </w:r>
          </w:p>
        </w:tc>
        <w:tc>
          <w:tcPr>
            <w:tcW w:w="4474" w:type="dxa"/>
          </w:tcPr>
          <w:p w:rsidR="00877074" w:rsidRDefault="00877074" w:rsidP="000418F1">
            <w:pPr>
              <w:pStyle w:val="msolistparagraph0"/>
              <w:numPr>
                <w:ilvl w:val="0"/>
                <w:numId w:val="27"/>
              </w:numPr>
              <w:rPr>
                <w:lang w:val="en-GB"/>
              </w:rPr>
            </w:pPr>
            <w:r>
              <w:rPr>
                <w:lang w:val="en-GB"/>
              </w:rPr>
              <w:t xml:space="preserve">The 125 Year Lease will reserve a right for the Landlord (and all third parties authorised by the Landlord) to use the Playing Fields and Sports Facilities on the Property for Community Use in accordance with terms to be agreed between the Landlord and the Tenant from time to time; </w:t>
            </w:r>
          </w:p>
          <w:p w:rsidR="00877074" w:rsidRDefault="00877074" w:rsidP="000418F1">
            <w:pPr>
              <w:pStyle w:val="DeptBullets"/>
              <w:numPr>
                <w:ilvl w:val="0"/>
                <w:numId w:val="0"/>
              </w:numPr>
              <w:ind w:right="72"/>
            </w:pPr>
          </w:p>
          <w:p w:rsidR="00877074" w:rsidRDefault="00877074" w:rsidP="000418F1">
            <w:pPr>
              <w:pStyle w:val="msolistparagraph0"/>
              <w:numPr>
                <w:ilvl w:val="0"/>
                <w:numId w:val="27"/>
              </w:numPr>
              <w:rPr>
                <w:lang w:val="en-GB"/>
              </w:rPr>
            </w:pPr>
            <w:r>
              <w:rPr>
                <w:lang w:val="en-GB"/>
              </w:rPr>
              <w:t xml:space="preserve">The Agreement for Lease will attach a draft Community Use Agreement that is provisionally agreed between LBH and </w:t>
            </w:r>
            <w:r>
              <w:rPr>
                <w:lang w:val="en-GB"/>
              </w:rPr>
              <w:lastRenderedPageBreak/>
              <w:t xml:space="preserve">Avanti Trust. The Agreement for Lease will allow for the draft Community Use Agreement to be modified after exchange of Agreements for Lease so as to deal with, for example, changes required by the outcome of the planning process. The Agreement for Lease will require LBH and the Avanti Trust to enter into the Community Use Agreement on completion of the 125 Year Lease. This Community Use Agreement will therefore be the 'terms to be agreed' as referred to in Para (a) above. </w:t>
            </w:r>
          </w:p>
          <w:p w:rsidR="00877074" w:rsidRDefault="00877074" w:rsidP="000418F1">
            <w:pPr>
              <w:pStyle w:val="DeptBullets"/>
              <w:numPr>
                <w:ilvl w:val="0"/>
                <w:numId w:val="0"/>
              </w:numPr>
              <w:ind w:right="72"/>
            </w:pPr>
          </w:p>
          <w:p w:rsidR="00877074" w:rsidRDefault="00877074" w:rsidP="000418F1">
            <w:pPr>
              <w:pStyle w:val="msolistparagraph0"/>
              <w:numPr>
                <w:ilvl w:val="0"/>
                <w:numId w:val="27"/>
              </w:numPr>
              <w:rPr>
                <w:lang w:val="en-GB"/>
              </w:rPr>
            </w:pPr>
            <w:r>
              <w:rPr>
                <w:lang w:val="en-GB"/>
              </w:rPr>
              <w:t xml:space="preserve">Community Use Agreement to </w:t>
            </w:r>
            <w:proofErr w:type="gramStart"/>
            <w:r>
              <w:rPr>
                <w:lang w:val="en-GB"/>
              </w:rPr>
              <w:t>be  entered</w:t>
            </w:r>
            <w:proofErr w:type="gramEnd"/>
            <w:r>
              <w:rPr>
                <w:lang w:val="en-GB"/>
              </w:rPr>
              <w:t xml:space="preserve"> into with the Avanti Trust will contain a mechanism for it to be reviewed on a regular basis so as to ensure that it keeps pace with both parties' requirements. Any dispute on the outcome of any such review would be referred to an independent third party for determination. </w:t>
            </w:r>
          </w:p>
          <w:p w:rsidR="00877074" w:rsidRDefault="00877074" w:rsidP="000418F1">
            <w:pPr>
              <w:pStyle w:val="DeptBullets"/>
              <w:numPr>
                <w:ilvl w:val="0"/>
                <w:numId w:val="0"/>
              </w:numPr>
              <w:ind w:right="72"/>
            </w:pPr>
          </w:p>
          <w:p w:rsidR="00877074" w:rsidRDefault="00877074" w:rsidP="000418F1">
            <w:pPr>
              <w:pStyle w:val="msolistparagraph0"/>
              <w:numPr>
                <w:ilvl w:val="0"/>
                <w:numId w:val="27"/>
              </w:numPr>
              <w:rPr>
                <w:lang w:val="en-GB"/>
              </w:rPr>
            </w:pPr>
            <w:r>
              <w:rPr>
                <w:lang w:val="en-GB"/>
              </w:rPr>
              <w:t xml:space="preserve">The 125 year Lease will provide that following any permitted assignment of the 125 Year Lease the new Tenant will be bound by the terms of the Community Use Agreement in place between the Landlord and the previous Tenant at the date of assignment until such time as a new Community Use Agreement is in place. The Landlord and Tenant will both be under an obligation to use reasonable endeavours to agree the terms of a new Community Use Agreement as soon as possible after the date of the assignment. If the Landlord and the new Tenant are unable to agree these terms within a reasonable time then any dispute would be referred to an independent third party for determination. </w:t>
            </w:r>
          </w:p>
          <w:p w:rsidR="00877074" w:rsidRPr="009D58AD" w:rsidRDefault="00877074" w:rsidP="009D58AD">
            <w:pPr>
              <w:pStyle w:val="DeptBullets"/>
              <w:numPr>
                <w:ilvl w:val="0"/>
                <w:numId w:val="0"/>
              </w:numPr>
              <w:ind w:right="72" w:hanging="36"/>
              <w:rPr>
                <w:highlight w:val="yellow"/>
              </w:rPr>
            </w:pPr>
          </w:p>
        </w:tc>
      </w:tr>
      <w:tr w:rsidR="00877074">
        <w:tc>
          <w:tcPr>
            <w:tcW w:w="5066" w:type="dxa"/>
          </w:tcPr>
          <w:p w:rsidR="00877074" w:rsidRDefault="00877074" w:rsidP="0005427A">
            <w:pPr>
              <w:pStyle w:val="DeptBullets"/>
              <w:numPr>
                <w:ilvl w:val="0"/>
                <w:numId w:val="0"/>
              </w:numPr>
              <w:tabs>
                <w:tab w:val="left" w:pos="4253"/>
              </w:tabs>
              <w:ind w:left="720" w:hanging="720"/>
            </w:pPr>
            <w:r>
              <w:lastRenderedPageBreak/>
              <w:t>14. Repair</w:t>
            </w:r>
          </w:p>
        </w:tc>
        <w:tc>
          <w:tcPr>
            <w:tcW w:w="4474" w:type="dxa"/>
          </w:tcPr>
          <w:p w:rsidR="00877074" w:rsidRDefault="00877074" w:rsidP="0005427A">
            <w:pPr>
              <w:pStyle w:val="DeptBullets"/>
              <w:numPr>
                <w:ilvl w:val="0"/>
                <w:numId w:val="0"/>
              </w:numPr>
              <w:spacing w:after="0"/>
              <w:ind w:right="72" w:hanging="42"/>
              <w:jc w:val="both"/>
            </w:pPr>
            <w:r w:rsidRPr="00617A77">
              <w:t xml:space="preserve">The responsibility for </w:t>
            </w:r>
            <w:r>
              <w:t xml:space="preserve">regular </w:t>
            </w:r>
            <w:r w:rsidRPr="00617A77">
              <w:t>repair, maintenance</w:t>
            </w:r>
            <w:r>
              <w:t>, development</w:t>
            </w:r>
            <w:r w:rsidRPr="00617A77">
              <w:t xml:space="preserve"> and management of the Facilit</w:t>
            </w:r>
            <w:r>
              <w:t>y</w:t>
            </w:r>
            <w:r w:rsidRPr="00617A77">
              <w:t xml:space="preserve"> will remain with the </w:t>
            </w:r>
            <w:r>
              <w:t>Tenant</w:t>
            </w:r>
            <w:r w:rsidRPr="00617A77">
              <w:t>.</w:t>
            </w:r>
            <w:r>
              <w:t xml:space="preserve"> . Standard booking terms will cover damage by users as is </w:t>
            </w:r>
            <w:r>
              <w:lastRenderedPageBreak/>
              <w:t>normal commercial practice when using a facility of this nature</w:t>
            </w:r>
          </w:p>
          <w:p w:rsidR="00877074" w:rsidRDefault="00877074" w:rsidP="0005427A">
            <w:pPr>
              <w:pStyle w:val="DeptBullets"/>
              <w:numPr>
                <w:ilvl w:val="0"/>
                <w:numId w:val="0"/>
              </w:numPr>
              <w:spacing w:after="0"/>
              <w:ind w:left="432" w:right="72" w:hanging="450"/>
              <w:jc w:val="both"/>
            </w:pPr>
          </w:p>
        </w:tc>
      </w:tr>
      <w:tr w:rsidR="00877074">
        <w:tc>
          <w:tcPr>
            <w:tcW w:w="5066" w:type="dxa"/>
          </w:tcPr>
          <w:p w:rsidR="00877074" w:rsidRDefault="00877074" w:rsidP="0005427A">
            <w:pPr>
              <w:pStyle w:val="DeptBullets"/>
              <w:numPr>
                <w:ilvl w:val="0"/>
                <w:numId w:val="0"/>
              </w:numPr>
              <w:tabs>
                <w:tab w:val="left" w:pos="4253"/>
              </w:tabs>
              <w:ind w:left="720" w:hanging="720"/>
            </w:pPr>
            <w:r w:rsidRPr="001D694A">
              <w:lastRenderedPageBreak/>
              <w:t>1</w:t>
            </w:r>
            <w:r>
              <w:t>5</w:t>
            </w:r>
            <w:r w:rsidRPr="001D694A">
              <w:t>. Insurance</w:t>
            </w:r>
          </w:p>
        </w:tc>
        <w:tc>
          <w:tcPr>
            <w:tcW w:w="4474" w:type="dxa"/>
          </w:tcPr>
          <w:p w:rsidR="00877074" w:rsidRDefault="00877074" w:rsidP="0005427A">
            <w:pPr>
              <w:pStyle w:val="DeptBullets"/>
              <w:numPr>
                <w:ilvl w:val="0"/>
                <w:numId w:val="0"/>
              </w:numPr>
              <w:spacing w:after="0"/>
              <w:ind w:right="72" w:hanging="42"/>
              <w:jc w:val="both"/>
            </w:pPr>
            <w:r w:rsidRPr="00617A77">
              <w:t xml:space="preserve">The </w:t>
            </w:r>
            <w:r>
              <w:t xml:space="preserve">Tenant </w:t>
            </w:r>
            <w:r w:rsidRPr="00617A77">
              <w:t xml:space="preserve">shall be responsible for </w:t>
            </w:r>
            <w:r>
              <w:t xml:space="preserve">the insurance of the Facilities. Including public liability </w:t>
            </w:r>
          </w:p>
          <w:p w:rsidR="00877074" w:rsidRDefault="00877074" w:rsidP="00821944">
            <w:pPr>
              <w:pStyle w:val="DeptBullets"/>
              <w:numPr>
                <w:ilvl w:val="0"/>
                <w:numId w:val="0"/>
              </w:numPr>
              <w:spacing w:after="0"/>
              <w:ind w:left="720" w:right="72" w:hanging="360"/>
              <w:jc w:val="both"/>
            </w:pPr>
          </w:p>
        </w:tc>
      </w:tr>
      <w:tr w:rsidR="00877074">
        <w:tc>
          <w:tcPr>
            <w:tcW w:w="5066" w:type="dxa"/>
          </w:tcPr>
          <w:p w:rsidR="00877074" w:rsidRDefault="00877074" w:rsidP="0005427A">
            <w:pPr>
              <w:pStyle w:val="DeptBullets"/>
              <w:numPr>
                <w:ilvl w:val="0"/>
                <w:numId w:val="0"/>
              </w:numPr>
              <w:tabs>
                <w:tab w:val="left" w:pos="4253"/>
              </w:tabs>
              <w:ind w:left="720" w:hanging="720"/>
            </w:pPr>
            <w:r>
              <w:t>16. Costs</w:t>
            </w:r>
          </w:p>
          <w:p w:rsidR="00877074" w:rsidRDefault="00877074" w:rsidP="0005427A">
            <w:pPr>
              <w:pStyle w:val="DeptBullets"/>
              <w:numPr>
                <w:ilvl w:val="0"/>
                <w:numId w:val="0"/>
              </w:numPr>
              <w:tabs>
                <w:tab w:val="left" w:pos="4253"/>
              </w:tabs>
              <w:ind w:left="720" w:hanging="720"/>
            </w:pPr>
          </w:p>
          <w:p w:rsidR="00877074" w:rsidRDefault="00877074" w:rsidP="0005427A">
            <w:pPr>
              <w:pStyle w:val="DeptBullets"/>
              <w:numPr>
                <w:ilvl w:val="0"/>
                <w:numId w:val="0"/>
              </w:numPr>
              <w:tabs>
                <w:tab w:val="left" w:pos="4253"/>
              </w:tabs>
              <w:ind w:left="720" w:hanging="720"/>
            </w:pPr>
            <w:r>
              <w:t>17. Indemnity</w:t>
            </w:r>
          </w:p>
          <w:p w:rsidR="00877074" w:rsidRDefault="00877074" w:rsidP="000A229F"/>
          <w:p w:rsidR="000418F1" w:rsidRDefault="000418F1" w:rsidP="000A229F"/>
          <w:p w:rsidR="000A229F" w:rsidRDefault="000A229F" w:rsidP="000A229F"/>
          <w:p w:rsidR="000A229F" w:rsidRDefault="000A229F" w:rsidP="000A229F"/>
          <w:p w:rsidR="000A229F" w:rsidRDefault="000A229F" w:rsidP="000A229F"/>
          <w:p w:rsidR="00877074" w:rsidRDefault="00877074" w:rsidP="0005427A">
            <w:pPr>
              <w:pStyle w:val="DeptBullets"/>
              <w:numPr>
                <w:ilvl w:val="0"/>
                <w:numId w:val="0"/>
              </w:numPr>
              <w:tabs>
                <w:tab w:val="left" w:pos="4253"/>
              </w:tabs>
              <w:ind w:left="720" w:hanging="720"/>
            </w:pPr>
            <w:r>
              <w:t>18. Conduct</w:t>
            </w:r>
          </w:p>
          <w:p w:rsidR="00877074" w:rsidRDefault="00877074" w:rsidP="000A229F"/>
          <w:p w:rsidR="00877074" w:rsidRDefault="00877074" w:rsidP="000A229F"/>
          <w:p w:rsidR="000A229F" w:rsidRDefault="000A229F" w:rsidP="000A229F"/>
          <w:p w:rsidR="000A229F" w:rsidRDefault="000A229F" w:rsidP="000A229F"/>
          <w:p w:rsidR="000A229F" w:rsidRDefault="000A229F" w:rsidP="000A229F"/>
          <w:p w:rsidR="00877074" w:rsidRDefault="00877074" w:rsidP="00821944">
            <w:pPr>
              <w:pStyle w:val="DeptBullets"/>
              <w:numPr>
                <w:ilvl w:val="0"/>
                <w:numId w:val="0"/>
              </w:numPr>
              <w:tabs>
                <w:tab w:val="left" w:pos="4253"/>
              </w:tabs>
            </w:pPr>
            <w:r>
              <w:t>19. Other Uses</w:t>
            </w:r>
          </w:p>
          <w:p w:rsidR="000418F1" w:rsidRDefault="000418F1" w:rsidP="000A229F"/>
          <w:p w:rsidR="000A229F" w:rsidRDefault="000A229F" w:rsidP="000A229F"/>
          <w:p w:rsidR="00877074" w:rsidRDefault="00877074" w:rsidP="0005427A">
            <w:pPr>
              <w:pStyle w:val="DeptBullets"/>
              <w:numPr>
                <w:ilvl w:val="0"/>
                <w:numId w:val="0"/>
              </w:numPr>
              <w:tabs>
                <w:tab w:val="left" w:pos="4253"/>
              </w:tabs>
              <w:ind w:left="720" w:hanging="720"/>
            </w:pPr>
            <w:r>
              <w:t xml:space="preserve">20. </w:t>
            </w:r>
            <w:r w:rsidRPr="000B1649">
              <w:rPr>
                <w:color w:val="424242"/>
                <w:sz w:val="26"/>
                <w:szCs w:val="26"/>
                <w:lang w:val="en-US" w:eastAsia="en-GB"/>
              </w:rPr>
              <w:t>Force Majeure</w:t>
            </w:r>
          </w:p>
          <w:p w:rsidR="00877074" w:rsidRPr="000B1649" w:rsidRDefault="00877074" w:rsidP="000B1649"/>
          <w:p w:rsidR="00877074" w:rsidRDefault="00877074" w:rsidP="000B1649"/>
          <w:p w:rsidR="00877074" w:rsidRDefault="00877074" w:rsidP="000B1649"/>
          <w:p w:rsidR="00877074" w:rsidRDefault="00877074" w:rsidP="000B1649"/>
          <w:p w:rsidR="00877074" w:rsidRDefault="00877074" w:rsidP="000B1649"/>
          <w:p w:rsidR="000A229F" w:rsidRPr="000B1649" w:rsidRDefault="000A229F" w:rsidP="000B1649"/>
          <w:p w:rsidR="00877074" w:rsidRDefault="00877074" w:rsidP="000B1649"/>
          <w:p w:rsidR="00877074" w:rsidRDefault="00877074" w:rsidP="000B1649">
            <w:r>
              <w:t>21. Health &amp; Safety</w:t>
            </w:r>
          </w:p>
          <w:p w:rsidR="00877074" w:rsidRDefault="00877074" w:rsidP="000B1649"/>
          <w:p w:rsidR="000418F1" w:rsidRDefault="000418F1" w:rsidP="000B1649"/>
          <w:p w:rsidR="000418F1" w:rsidRDefault="000418F1" w:rsidP="000B1649"/>
          <w:p w:rsidR="00877074" w:rsidRPr="000B1649" w:rsidRDefault="00877074" w:rsidP="004C6C1C">
            <w:r>
              <w:t>22. Spectators and Crowds</w:t>
            </w:r>
          </w:p>
        </w:tc>
        <w:tc>
          <w:tcPr>
            <w:tcW w:w="4474" w:type="dxa"/>
          </w:tcPr>
          <w:p w:rsidR="00877074" w:rsidRDefault="00877074" w:rsidP="0005427A">
            <w:pPr>
              <w:pStyle w:val="DeptBullets"/>
              <w:numPr>
                <w:ilvl w:val="0"/>
                <w:numId w:val="0"/>
              </w:numPr>
              <w:spacing w:after="0"/>
              <w:ind w:right="72"/>
              <w:jc w:val="both"/>
            </w:pPr>
            <w:r w:rsidRPr="00617A77">
              <w:t xml:space="preserve">The </w:t>
            </w:r>
            <w:r>
              <w:t xml:space="preserve">Tenant </w:t>
            </w:r>
            <w:r w:rsidRPr="00617A77">
              <w:t>will bear all legal and professional fees incurred by the U</w:t>
            </w:r>
            <w:r>
              <w:t>ser subject to a cap of £10,000</w:t>
            </w:r>
          </w:p>
          <w:p w:rsidR="00877074" w:rsidRDefault="00877074" w:rsidP="0005427A">
            <w:pPr>
              <w:pStyle w:val="DeptBullets"/>
              <w:numPr>
                <w:ilvl w:val="0"/>
                <w:numId w:val="0"/>
              </w:numPr>
              <w:spacing w:after="0"/>
              <w:ind w:right="72"/>
              <w:jc w:val="both"/>
            </w:pPr>
          </w:p>
          <w:p w:rsidR="00877074" w:rsidRDefault="00877074" w:rsidP="0005427A">
            <w:pPr>
              <w:pStyle w:val="DeptBullets"/>
              <w:numPr>
                <w:ilvl w:val="0"/>
                <w:numId w:val="0"/>
              </w:numPr>
              <w:spacing w:after="0"/>
              <w:ind w:right="72"/>
              <w:jc w:val="both"/>
            </w:pPr>
            <w:r>
              <w:t>Booking conditions can form part of user agreement detail but must not be such that they would deter the average user from using the facility</w:t>
            </w:r>
          </w:p>
          <w:p w:rsidR="00877074" w:rsidRDefault="00877074" w:rsidP="0005427A">
            <w:pPr>
              <w:pStyle w:val="DeptBullets"/>
              <w:numPr>
                <w:ilvl w:val="0"/>
                <w:numId w:val="0"/>
              </w:numPr>
              <w:spacing w:after="0"/>
              <w:ind w:right="72"/>
              <w:jc w:val="both"/>
            </w:pPr>
          </w:p>
          <w:p w:rsidR="00877074" w:rsidRDefault="00877074" w:rsidP="0005427A">
            <w:pPr>
              <w:pStyle w:val="DeptBullets"/>
              <w:numPr>
                <w:ilvl w:val="0"/>
                <w:numId w:val="0"/>
              </w:numPr>
              <w:spacing w:after="0"/>
              <w:ind w:right="72"/>
              <w:jc w:val="both"/>
            </w:pPr>
          </w:p>
          <w:p w:rsidR="00877074" w:rsidRDefault="00877074" w:rsidP="0005427A">
            <w:pPr>
              <w:pStyle w:val="DeptBullets"/>
              <w:numPr>
                <w:ilvl w:val="0"/>
                <w:numId w:val="0"/>
              </w:numPr>
              <w:spacing w:after="0"/>
              <w:ind w:right="72"/>
              <w:jc w:val="both"/>
            </w:pPr>
            <w:r>
              <w:t xml:space="preserve">Permitted Users will abide by the Tenants reasonable Code of Conduct. </w:t>
            </w:r>
            <w:r w:rsidRPr="00821944">
              <w:t>However</w:t>
            </w:r>
            <w:r>
              <w:t xml:space="preserve">, nothing in the Code of Conduct shall be more restrictive than that which is implemented by Avanti House School itself.  </w:t>
            </w:r>
          </w:p>
          <w:p w:rsidR="00877074" w:rsidRDefault="00877074" w:rsidP="0005427A">
            <w:pPr>
              <w:pStyle w:val="DeptBullets"/>
              <w:numPr>
                <w:ilvl w:val="0"/>
                <w:numId w:val="0"/>
              </w:numPr>
              <w:spacing w:after="0"/>
              <w:ind w:right="72"/>
              <w:jc w:val="both"/>
            </w:pPr>
          </w:p>
          <w:p w:rsidR="00877074" w:rsidRDefault="00877074" w:rsidP="0005427A">
            <w:pPr>
              <w:pStyle w:val="DeptBullets"/>
              <w:numPr>
                <w:ilvl w:val="0"/>
                <w:numId w:val="0"/>
              </w:numPr>
              <w:spacing w:after="0"/>
              <w:ind w:right="72"/>
              <w:jc w:val="both"/>
            </w:pPr>
            <w:r>
              <w:t xml:space="preserve">The CUA takes precedence over all other uses other than the Schools </w:t>
            </w:r>
            <w:proofErr w:type="spellStart"/>
            <w:r>
              <w:t>pre</w:t>
            </w:r>
            <w:proofErr w:type="spellEnd"/>
            <w:r>
              <w:t xml:space="preserve">  scheduled curriculum</w:t>
            </w:r>
          </w:p>
          <w:p w:rsidR="000418F1" w:rsidRDefault="000418F1" w:rsidP="0005427A">
            <w:pPr>
              <w:pStyle w:val="DeptBullets"/>
              <w:numPr>
                <w:ilvl w:val="0"/>
                <w:numId w:val="0"/>
              </w:numPr>
              <w:spacing w:after="0"/>
              <w:ind w:right="72"/>
              <w:jc w:val="both"/>
            </w:pPr>
          </w:p>
          <w:p w:rsidR="00877074" w:rsidRDefault="00877074" w:rsidP="000B1649">
            <w:pPr>
              <w:pStyle w:val="DeptBullets"/>
              <w:numPr>
                <w:ilvl w:val="0"/>
                <w:numId w:val="0"/>
              </w:numPr>
              <w:spacing w:after="0"/>
              <w:ind w:right="72"/>
              <w:jc w:val="both"/>
            </w:pPr>
            <w:r>
              <w:t xml:space="preserve">The Tenant will have the right to refuse use of the Facility in the event of water-logging, snow or other significant conditions that prevent safe and appropriate use of the Facility. The hours that the Facility is thus made unavailable shall not be required to be made up at other times. </w:t>
            </w:r>
          </w:p>
          <w:p w:rsidR="00877074" w:rsidRDefault="00877074" w:rsidP="000B1649">
            <w:pPr>
              <w:pStyle w:val="DeptBullets"/>
              <w:numPr>
                <w:ilvl w:val="0"/>
                <w:numId w:val="0"/>
              </w:numPr>
              <w:spacing w:after="0"/>
              <w:ind w:right="72"/>
              <w:jc w:val="both"/>
            </w:pPr>
          </w:p>
          <w:p w:rsidR="00877074" w:rsidRDefault="00877074" w:rsidP="000B1649">
            <w:pPr>
              <w:pStyle w:val="DeptBullets"/>
              <w:numPr>
                <w:ilvl w:val="0"/>
                <w:numId w:val="0"/>
              </w:numPr>
              <w:spacing w:after="0"/>
              <w:ind w:right="72"/>
              <w:jc w:val="both"/>
            </w:pPr>
            <w:r>
              <w:t>Users during school term time to be subject to CRB requirements  and supervision provisions</w:t>
            </w:r>
          </w:p>
          <w:p w:rsidR="00877074" w:rsidRDefault="00877074" w:rsidP="000B1649">
            <w:pPr>
              <w:pStyle w:val="DeptBullets"/>
              <w:numPr>
                <w:ilvl w:val="0"/>
                <w:numId w:val="0"/>
              </w:numPr>
              <w:spacing w:after="0"/>
              <w:ind w:right="72"/>
              <w:jc w:val="both"/>
            </w:pPr>
          </w:p>
          <w:p w:rsidR="00877074" w:rsidRDefault="00877074" w:rsidP="00056948">
            <w:pPr>
              <w:pStyle w:val="DeptBullets"/>
              <w:numPr>
                <w:ilvl w:val="0"/>
                <w:numId w:val="0"/>
              </w:numPr>
              <w:spacing w:after="0"/>
              <w:ind w:right="72"/>
              <w:jc w:val="both"/>
            </w:pPr>
            <w:r>
              <w:t xml:space="preserve">Parents to </w:t>
            </w:r>
            <w:proofErr w:type="spellStart"/>
            <w:r>
              <w:t>spectate</w:t>
            </w:r>
            <w:proofErr w:type="spellEnd"/>
            <w:r>
              <w:t xml:space="preserve"> only outside school core hours and at agreed sports days</w:t>
            </w:r>
          </w:p>
        </w:tc>
      </w:tr>
      <w:tr w:rsidR="00877074">
        <w:tc>
          <w:tcPr>
            <w:tcW w:w="5066" w:type="dxa"/>
          </w:tcPr>
          <w:p w:rsidR="00877074" w:rsidRDefault="00877074" w:rsidP="0005427A">
            <w:pPr>
              <w:pStyle w:val="DeptBullets"/>
              <w:numPr>
                <w:ilvl w:val="0"/>
                <w:numId w:val="0"/>
              </w:numPr>
              <w:tabs>
                <w:tab w:val="left" w:pos="4253"/>
              </w:tabs>
              <w:ind w:left="720" w:hanging="720"/>
            </w:pPr>
          </w:p>
        </w:tc>
        <w:tc>
          <w:tcPr>
            <w:tcW w:w="4474" w:type="dxa"/>
          </w:tcPr>
          <w:p w:rsidR="00877074" w:rsidRPr="00617A77" w:rsidRDefault="00877074" w:rsidP="0005427A">
            <w:pPr>
              <w:pStyle w:val="DeptBullets"/>
              <w:numPr>
                <w:ilvl w:val="0"/>
                <w:numId w:val="0"/>
              </w:numPr>
              <w:spacing w:after="0"/>
              <w:ind w:right="72"/>
              <w:jc w:val="both"/>
            </w:pPr>
          </w:p>
        </w:tc>
      </w:tr>
    </w:tbl>
    <w:p w:rsidR="00877074" w:rsidRDefault="00877074" w:rsidP="00815701">
      <w:pPr>
        <w:pStyle w:val="DeptBullets"/>
        <w:numPr>
          <w:ilvl w:val="0"/>
          <w:numId w:val="0"/>
        </w:numPr>
        <w:tabs>
          <w:tab w:val="left" w:pos="3969"/>
        </w:tabs>
        <w:spacing w:after="0"/>
        <w:ind w:left="4253" w:right="-625" w:hanging="4253"/>
        <w:jc w:val="both"/>
      </w:pPr>
    </w:p>
    <w:sectPr w:rsidR="00877074" w:rsidSect="009D58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0A" w:rsidRDefault="00F77C0A">
      <w:r>
        <w:separator/>
      </w:r>
    </w:p>
  </w:endnote>
  <w:endnote w:type="continuationSeparator" w:id="0">
    <w:p w:rsidR="00F77C0A" w:rsidRDefault="00F77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0A" w:rsidRDefault="00F77C0A">
      <w:r>
        <w:separator/>
      </w:r>
    </w:p>
  </w:footnote>
  <w:footnote w:type="continuationSeparator" w:id="0">
    <w:p w:rsidR="00F77C0A" w:rsidRDefault="00F77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867"/>
    <w:multiLevelType w:val="hybridMultilevel"/>
    <w:tmpl w:val="D2023732"/>
    <w:lvl w:ilvl="0" w:tplc="CF1C2474">
      <w:start w:val="1"/>
      <w:numFmt w:val="decimal"/>
      <w:lvlText w:val="%1)"/>
      <w:lvlJc w:val="left"/>
      <w:pPr>
        <w:tabs>
          <w:tab w:val="num" w:pos="342"/>
        </w:tabs>
        <w:ind w:left="342" w:hanging="360"/>
      </w:pPr>
      <w:rPr>
        <w:rFonts w:hint="default"/>
      </w:rPr>
    </w:lvl>
    <w:lvl w:ilvl="1" w:tplc="04090019">
      <w:start w:val="1"/>
      <w:numFmt w:val="lowerLetter"/>
      <w:lvlText w:val="%2."/>
      <w:lvlJc w:val="left"/>
      <w:pPr>
        <w:tabs>
          <w:tab w:val="num" w:pos="1062"/>
        </w:tabs>
        <w:ind w:left="1062" w:hanging="360"/>
      </w:pPr>
    </w:lvl>
    <w:lvl w:ilvl="2" w:tplc="0409001B">
      <w:start w:val="1"/>
      <w:numFmt w:val="lowerRoman"/>
      <w:lvlText w:val="%3."/>
      <w:lvlJc w:val="right"/>
      <w:pPr>
        <w:tabs>
          <w:tab w:val="num" w:pos="1782"/>
        </w:tabs>
        <w:ind w:left="1782" w:hanging="180"/>
      </w:pPr>
    </w:lvl>
    <w:lvl w:ilvl="3" w:tplc="0409000F">
      <w:start w:val="1"/>
      <w:numFmt w:val="decimal"/>
      <w:lvlText w:val="%4."/>
      <w:lvlJc w:val="left"/>
      <w:pPr>
        <w:tabs>
          <w:tab w:val="num" w:pos="2502"/>
        </w:tabs>
        <w:ind w:left="2502" w:hanging="360"/>
      </w:pPr>
    </w:lvl>
    <w:lvl w:ilvl="4" w:tplc="04090019">
      <w:start w:val="1"/>
      <w:numFmt w:val="lowerLetter"/>
      <w:lvlText w:val="%5."/>
      <w:lvlJc w:val="left"/>
      <w:pPr>
        <w:tabs>
          <w:tab w:val="num" w:pos="3222"/>
        </w:tabs>
        <w:ind w:left="3222" w:hanging="360"/>
      </w:pPr>
    </w:lvl>
    <w:lvl w:ilvl="5" w:tplc="0409001B">
      <w:start w:val="1"/>
      <w:numFmt w:val="lowerRoman"/>
      <w:lvlText w:val="%6."/>
      <w:lvlJc w:val="right"/>
      <w:pPr>
        <w:tabs>
          <w:tab w:val="num" w:pos="3942"/>
        </w:tabs>
        <w:ind w:left="3942" w:hanging="180"/>
      </w:pPr>
    </w:lvl>
    <w:lvl w:ilvl="6" w:tplc="0409000F">
      <w:start w:val="1"/>
      <w:numFmt w:val="decimal"/>
      <w:lvlText w:val="%7."/>
      <w:lvlJc w:val="left"/>
      <w:pPr>
        <w:tabs>
          <w:tab w:val="num" w:pos="4662"/>
        </w:tabs>
        <w:ind w:left="4662" w:hanging="360"/>
      </w:pPr>
    </w:lvl>
    <w:lvl w:ilvl="7" w:tplc="04090019">
      <w:start w:val="1"/>
      <w:numFmt w:val="lowerLetter"/>
      <w:lvlText w:val="%8."/>
      <w:lvlJc w:val="left"/>
      <w:pPr>
        <w:tabs>
          <w:tab w:val="num" w:pos="5382"/>
        </w:tabs>
        <w:ind w:left="5382" w:hanging="360"/>
      </w:pPr>
    </w:lvl>
    <w:lvl w:ilvl="8" w:tplc="0409001B">
      <w:start w:val="1"/>
      <w:numFmt w:val="lowerRoman"/>
      <w:lvlText w:val="%9."/>
      <w:lvlJc w:val="right"/>
      <w:pPr>
        <w:tabs>
          <w:tab w:val="num" w:pos="6102"/>
        </w:tabs>
        <w:ind w:left="6102" w:hanging="180"/>
      </w:pPr>
    </w:lvl>
  </w:abstractNum>
  <w:abstractNum w:abstractNumId="1">
    <w:nsid w:val="11C57020"/>
    <w:multiLevelType w:val="hybridMultilevel"/>
    <w:tmpl w:val="988466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AF9728E"/>
    <w:multiLevelType w:val="hybridMultilevel"/>
    <w:tmpl w:val="167E20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394303D8"/>
    <w:multiLevelType w:val="hybridMultilevel"/>
    <w:tmpl w:val="612427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F7D7A70"/>
    <w:multiLevelType w:val="hybridMultilevel"/>
    <w:tmpl w:val="16F868C4"/>
    <w:lvl w:ilvl="0" w:tplc="AAECC0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36D6D2C"/>
    <w:multiLevelType w:val="hybridMultilevel"/>
    <w:tmpl w:val="823EE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B6A6AFB"/>
    <w:multiLevelType w:val="hybridMultilevel"/>
    <w:tmpl w:val="95F2026A"/>
    <w:lvl w:ilvl="0" w:tplc="E8545FAA">
      <w:start w:val="4"/>
      <w:numFmt w:val="decimal"/>
      <w:lvlText w:val="%1"/>
      <w:lvlJc w:val="left"/>
      <w:pPr>
        <w:ind w:left="4613" w:hanging="360"/>
      </w:pPr>
      <w:rPr>
        <w:rFonts w:hint="default"/>
      </w:rPr>
    </w:lvl>
    <w:lvl w:ilvl="1" w:tplc="08090019">
      <w:start w:val="1"/>
      <w:numFmt w:val="lowerLetter"/>
      <w:lvlText w:val="%2."/>
      <w:lvlJc w:val="left"/>
      <w:pPr>
        <w:ind w:left="5333" w:hanging="360"/>
      </w:pPr>
    </w:lvl>
    <w:lvl w:ilvl="2" w:tplc="0809001B">
      <w:start w:val="1"/>
      <w:numFmt w:val="lowerRoman"/>
      <w:lvlText w:val="%3."/>
      <w:lvlJc w:val="right"/>
      <w:pPr>
        <w:ind w:left="6053" w:hanging="180"/>
      </w:pPr>
    </w:lvl>
    <w:lvl w:ilvl="3" w:tplc="0809000F">
      <w:start w:val="1"/>
      <w:numFmt w:val="decimal"/>
      <w:lvlText w:val="%4."/>
      <w:lvlJc w:val="left"/>
      <w:pPr>
        <w:ind w:left="6773" w:hanging="360"/>
      </w:pPr>
    </w:lvl>
    <w:lvl w:ilvl="4" w:tplc="08090019">
      <w:start w:val="1"/>
      <w:numFmt w:val="lowerLetter"/>
      <w:lvlText w:val="%5."/>
      <w:lvlJc w:val="left"/>
      <w:pPr>
        <w:ind w:left="7493" w:hanging="360"/>
      </w:pPr>
    </w:lvl>
    <w:lvl w:ilvl="5" w:tplc="0809001B">
      <w:start w:val="1"/>
      <w:numFmt w:val="lowerRoman"/>
      <w:lvlText w:val="%6."/>
      <w:lvlJc w:val="right"/>
      <w:pPr>
        <w:ind w:left="8213" w:hanging="180"/>
      </w:pPr>
    </w:lvl>
    <w:lvl w:ilvl="6" w:tplc="0809000F">
      <w:start w:val="1"/>
      <w:numFmt w:val="decimal"/>
      <w:lvlText w:val="%7."/>
      <w:lvlJc w:val="left"/>
      <w:pPr>
        <w:ind w:left="8933" w:hanging="360"/>
      </w:pPr>
    </w:lvl>
    <w:lvl w:ilvl="7" w:tplc="08090019">
      <w:start w:val="1"/>
      <w:numFmt w:val="lowerLetter"/>
      <w:lvlText w:val="%8."/>
      <w:lvlJc w:val="left"/>
      <w:pPr>
        <w:ind w:left="9653" w:hanging="360"/>
      </w:pPr>
    </w:lvl>
    <w:lvl w:ilvl="8" w:tplc="0809001B">
      <w:start w:val="1"/>
      <w:numFmt w:val="lowerRoman"/>
      <w:lvlText w:val="%9."/>
      <w:lvlJc w:val="right"/>
      <w:pPr>
        <w:ind w:left="10373" w:hanging="180"/>
      </w:pPr>
    </w:lvl>
  </w:abstractNum>
  <w:abstractNum w:abstractNumId="1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13"/>
  </w:num>
  <w:num w:numId="4">
    <w:abstractNumId w:val="2"/>
  </w:num>
  <w:num w:numId="5">
    <w:abstractNumId w:val="7"/>
  </w:num>
  <w:num w:numId="6">
    <w:abstractNumId w:val="10"/>
  </w:num>
  <w:num w:numId="7">
    <w:abstractNumId w:val="8"/>
  </w:num>
  <w:num w:numId="8">
    <w:abstractNumId w:val="11"/>
  </w:num>
  <w:num w:numId="9">
    <w:abstractNumId w:val="1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3"/>
  </w:num>
  <w:num w:numId="24">
    <w:abstractNumId w:val="1"/>
  </w:num>
  <w:num w:numId="25">
    <w:abstractNumId w:val="5"/>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0F3"/>
    <w:rsid w:val="00000745"/>
    <w:rsid w:val="00011F78"/>
    <w:rsid w:val="00012057"/>
    <w:rsid w:val="00012E8E"/>
    <w:rsid w:val="00022DB6"/>
    <w:rsid w:val="00035F05"/>
    <w:rsid w:val="00041864"/>
    <w:rsid w:val="000418F1"/>
    <w:rsid w:val="0004354A"/>
    <w:rsid w:val="0004776A"/>
    <w:rsid w:val="000506A3"/>
    <w:rsid w:val="00051EA1"/>
    <w:rsid w:val="0005427A"/>
    <w:rsid w:val="00056948"/>
    <w:rsid w:val="000833EF"/>
    <w:rsid w:val="00084DF7"/>
    <w:rsid w:val="000909EE"/>
    <w:rsid w:val="000A0C1B"/>
    <w:rsid w:val="000A229F"/>
    <w:rsid w:val="000A72A2"/>
    <w:rsid w:val="000B11D7"/>
    <w:rsid w:val="000B1468"/>
    <w:rsid w:val="000B1649"/>
    <w:rsid w:val="000B1AEB"/>
    <w:rsid w:val="000D09E0"/>
    <w:rsid w:val="000F4E59"/>
    <w:rsid w:val="001108BC"/>
    <w:rsid w:val="00114981"/>
    <w:rsid w:val="00116F59"/>
    <w:rsid w:val="001362FD"/>
    <w:rsid w:val="001366BB"/>
    <w:rsid w:val="001372F2"/>
    <w:rsid w:val="00146699"/>
    <w:rsid w:val="00153F85"/>
    <w:rsid w:val="00166C15"/>
    <w:rsid w:val="00167003"/>
    <w:rsid w:val="001747AF"/>
    <w:rsid w:val="00180A06"/>
    <w:rsid w:val="00182783"/>
    <w:rsid w:val="001870B9"/>
    <w:rsid w:val="00187B1B"/>
    <w:rsid w:val="00190DB0"/>
    <w:rsid w:val="00192FD4"/>
    <w:rsid w:val="00194150"/>
    <w:rsid w:val="00195F8E"/>
    <w:rsid w:val="001A14A3"/>
    <w:rsid w:val="001A2A53"/>
    <w:rsid w:val="001A54FA"/>
    <w:rsid w:val="001B05C8"/>
    <w:rsid w:val="001B6DF9"/>
    <w:rsid w:val="001C386B"/>
    <w:rsid w:val="001D55BC"/>
    <w:rsid w:val="001D694A"/>
    <w:rsid w:val="001D7FB3"/>
    <w:rsid w:val="001E105B"/>
    <w:rsid w:val="001E6CEA"/>
    <w:rsid w:val="001E7D6F"/>
    <w:rsid w:val="002009C2"/>
    <w:rsid w:val="00211C37"/>
    <w:rsid w:val="00212D24"/>
    <w:rsid w:val="00216C33"/>
    <w:rsid w:val="00217581"/>
    <w:rsid w:val="002335B0"/>
    <w:rsid w:val="002338A1"/>
    <w:rsid w:val="002451F3"/>
    <w:rsid w:val="00255F30"/>
    <w:rsid w:val="00266064"/>
    <w:rsid w:val="0027611C"/>
    <w:rsid w:val="002840D0"/>
    <w:rsid w:val="00291868"/>
    <w:rsid w:val="00295EFC"/>
    <w:rsid w:val="002B651E"/>
    <w:rsid w:val="002B744A"/>
    <w:rsid w:val="002C1236"/>
    <w:rsid w:val="002C1306"/>
    <w:rsid w:val="002D0F74"/>
    <w:rsid w:val="002D2A7A"/>
    <w:rsid w:val="002E0BE7"/>
    <w:rsid w:val="002E143A"/>
    <w:rsid w:val="002E28FA"/>
    <w:rsid w:val="002E37F8"/>
    <w:rsid w:val="00310708"/>
    <w:rsid w:val="00312BD3"/>
    <w:rsid w:val="003339BD"/>
    <w:rsid w:val="00345251"/>
    <w:rsid w:val="00347A3B"/>
    <w:rsid w:val="00367EEB"/>
    <w:rsid w:val="00370895"/>
    <w:rsid w:val="00375475"/>
    <w:rsid w:val="00377E95"/>
    <w:rsid w:val="00392AE9"/>
    <w:rsid w:val="003B78F9"/>
    <w:rsid w:val="003C2637"/>
    <w:rsid w:val="003C56CD"/>
    <w:rsid w:val="003D1B8E"/>
    <w:rsid w:val="003D74A2"/>
    <w:rsid w:val="003D7A13"/>
    <w:rsid w:val="003E1B86"/>
    <w:rsid w:val="00402829"/>
    <w:rsid w:val="00403B23"/>
    <w:rsid w:val="00430DC5"/>
    <w:rsid w:val="00436DE9"/>
    <w:rsid w:val="00441707"/>
    <w:rsid w:val="00450D89"/>
    <w:rsid w:val="004533A7"/>
    <w:rsid w:val="00460505"/>
    <w:rsid w:val="00463122"/>
    <w:rsid w:val="00467E47"/>
    <w:rsid w:val="00480E77"/>
    <w:rsid w:val="00484C39"/>
    <w:rsid w:val="00484E64"/>
    <w:rsid w:val="00492D71"/>
    <w:rsid w:val="004955D9"/>
    <w:rsid w:val="004B0E50"/>
    <w:rsid w:val="004B4C37"/>
    <w:rsid w:val="004C6C1C"/>
    <w:rsid w:val="004E4215"/>
    <w:rsid w:val="004E633C"/>
    <w:rsid w:val="004F260B"/>
    <w:rsid w:val="00511CA5"/>
    <w:rsid w:val="005150CE"/>
    <w:rsid w:val="00530814"/>
    <w:rsid w:val="00542FE9"/>
    <w:rsid w:val="00545301"/>
    <w:rsid w:val="00565333"/>
    <w:rsid w:val="00583380"/>
    <w:rsid w:val="00584147"/>
    <w:rsid w:val="00584EA6"/>
    <w:rsid w:val="00591B39"/>
    <w:rsid w:val="005B1CC3"/>
    <w:rsid w:val="005B378D"/>
    <w:rsid w:val="005B5A07"/>
    <w:rsid w:val="005C04CA"/>
    <w:rsid w:val="005C1372"/>
    <w:rsid w:val="005E79F3"/>
    <w:rsid w:val="006007BA"/>
    <w:rsid w:val="00603132"/>
    <w:rsid w:val="00607A4B"/>
    <w:rsid w:val="00610FE0"/>
    <w:rsid w:val="00617A77"/>
    <w:rsid w:val="0062704E"/>
    <w:rsid w:val="00634682"/>
    <w:rsid w:val="0063507E"/>
    <w:rsid w:val="006363E9"/>
    <w:rsid w:val="00647121"/>
    <w:rsid w:val="00651809"/>
    <w:rsid w:val="00666AE2"/>
    <w:rsid w:val="00667F3C"/>
    <w:rsid w:val="00670E40"/>
    <w:rsid w:val="006813A6"/>
    <w:rsid w:val="006858D6"/>
    <w:rsid w:val="00687908"/>
    <w:rsid w:val="006A00F3"/>
    <w:rsid w:val="006A0189"/>
    <w:rsid w:val="006A1127"/>
    <w:rsid w:val="006A1F6E"/>
    <w:rsid w:val="006A2F72"/>
    <w:rsid w:val="006A3278"/>
    <w:rsid w:val="006B3013"/>
    <w:rsid w:val="006D3EBD"/>
    <w:rsid w:val="006D451F"/>
    <w:rsid w:val="006E25E1"/>
    <w:rsid w:val="006E6F0B"/>
    <w:rsid w:val="00707FCD"/>
    <w:rsid w:val="007104E4"/>
    <w:rsid w:val="00722B2E"/>
    <w:rsid w:val="00733C32"/>
    <w:rsid w:val="007442BB"/>
    <w:rsid w:val="00744F36"/>
    <w:rsid w:val="007463C5"/>
    <w:rsid w:val="0074651A"/>
    <w:rsid w:val="00746846"/>
    <w:rsid w:val="007510C3"/>
    <w:rsid w:val="007521E4"/>
    <w:rsid w:val="00756E65"/>
    <w:rsid w:val="00764104"/>
    <w:rsid w:val="0076458E"/>
    <w:rsid w:val="00767063"/>
    <w:rsid w:val="007815C5"/>
    <w:rsid w:val="007940AE"/>
    <w:rsid w:val="00794ED5"/>
    <w:rsid w:val="007A10F9"/>
    <w:rsid w:val="007A4C02"/>
    <w:rsid w:val="007B264C"/>
    <w:rsid w:val="007B49CD"/>
    <w:rsid w:val="007B593B"/>
    <w:rsid w:val="007B5A46"/>
    <w:rsid w:val="007C0B2C"/>
    <w:rsid w:val="007C1BC2"/>
    <w:rsid w:val="007D0DBA"/>
    <w:rsid w:val="007D4DB0"/>
    <w:rsid w:val="007E30AE"/>
    <w:rsid w:val="007E3F58"/>
    <w:rsid w:val="007F073B"/>
    <w:rsid w:val="00805C72"/>
    <w:rsid w:val="00815701"/>
    <w:rsid w:val="00821944"/>
    <w:rsid w:val="00830473"/>
    <w:rsid w:val="00831225"/>
    <w:rsid w:val="00833C87"/>
    <w:rsid w:val="00835773"/>
    <w:rsid w:val="008428AB"/>
    <w:rsid w:val="00847189"/>
    <w:rsid w:val="00860EDA"/>
    <w:rsid w:val="00863664"/>
    <w:rsid w:val="00865F2B"/>
    <w:rsid w:val="00877074"/>
    <w:rsid w:val="0088151C"/>
    <w:rsid w:val="008817AB"/>
    <w:rsid w:val="008843A4"/>
    <w:rsid w:val="008A4F09"/>
    <w:rsid w:val="008B1C49"/>
    <w:rsid w:val="008B67CC"/>
    <w:rsid w:val="008D1228"/>
    <w:rsid w:val="008D6E4A"/>
    <w:rsid w:val="008E0475"/>
    <w:rsid w:val="008E3BDA"/>
    <w:rsid w:val="008E40D2"/>
    <w:rsid w:val="008E5FE8"/>
    <w:rsid w:val="008F452F"/>
    <w:rsid w:val="008F78FE"/>
    <w:rsid w:val="00903D34"/>
    <w:rsid w:val="00905ADC"/>
    <w:rsid w:val="00906C33"/>
    <w:rsid w:val="0091066E"/>
    <w:rsid w:val="009173AF"/>
    <w:rsid w:val="00930D64"/>
    <w:rsid w:val="00931DC0"/>
    <w:rsid w:val="00932946"/>
    <w:rsid w:val="00935D8D"/>
    <w:rsid w:val="009424FA"/>
    <w:rsid w:val="009426CB"/>
    <w:rsid w:val="00943ABB"/>
    <w:rsid w:val="00963073"/>
    <w:rsid w:val="00972D85"/>
    <w:rsid w:val="0097315A"/>
    <w:rsid w:val="00977C65"/>
    <w:rsid w:val="009A1086"/>
    <w:rsid w:val="009A3F0A"/>
    <w:rsid w:val="009B3EFE"/>
    <w:rsid w:val="009B493A"/>
    <w:rsid w:val="009B649E"/>
    <w:rsid w:val="009C5458"/>
    <w:rsid w:val="009D3D73"/>
    <w:rsid w:val="009D58AD"/>
    <w:rsid w:val="009E6025"/>
    <w:rsid w:val="009E73AD"/>
    <w:rsid w:val="009F5357"/>
    <w:rsid w:val="009F6E7B"/>
    <w:rsid w:val="009F7653"/>
    <w:rsid w:val="00A00569"/>
    <w:rsid w:val="00A13338"/>
    <w:rsid w:val="00A21E85"/>
    <w:rsid w:val="00A252EC"/>
    <w:rsid w:val="00A2712A"/>
    <w:rsid w:val="00A3306B"/>
    <w:rsid w:val="00A36044"/>
    <w:rsid w:val="00A366A9"/>
    <w:rsid w:val="00A440A2"/>
    <w:rsid w:val="00A46912"/>
    <w:rsid w:val="00A46ED1"/>
    <w:rsid w:val="00A55D0C"/>
    <w:rsid w:val="00A64099"/>
    <w:rsid w:val="00A708BE"/>
    <w:rsid w:val="00A9417C"/>
    <w:rsid w:val="00A945FC"/>
    <w:rsid w:val="00A96425"/>
    <w:rsid w:val="00AB0716"/>
    <w:rsid w:val="00AB6016"/>
    <w:rsid w:val="00AC2A37"/>
    <w:rsid w:val="00AD0E50"/>
    <w:rsid w:val="00AD632D"/>
    <w:rsid w:val="00AF0554"/>
    <w:rsid w:val="00AF1C07"/>
    <w:rsid w:val="00AF377A"/>
    <w:rsid w:val="00AF53AE"/>
    <w:rsid w:val="00AF737F"/>
    <w:rsid w:val="00B006DF"/>
    <w:rsid w:val="00B0347E"/>
    <w:rsid w:val="00B05ECD"/>
    <w:rsid w:val="00B06172"/>
    <w:rsid w:val="00B16A24"/>
    <w:rsid w:val="00B16A8C"/>
    <w:rsid w:val="00B2057F"/>
    <w:rsid w:val="00B242D6"/>
    <w:rsid w:val="00B275C1"/>
    <w:rsid w:val="00B52F8F"/>
    <w:rsid w:val="00B6522B"/>
    <w:rsid w:val="00B65709"/>
    <w:rsid w:val="00B67DF2"/>
    <w:rsid w:val="00B84550"/>
    <w:rsid w:val="00B85BF7"/>
    <w:rsid w:val="00B939CC"/>
    <w:rsid w:val="00BB2DAB"/>
    <w:rsid w:val="00BC547B"/>
    <w:rsid w:val="00BC63BA"/>
    <w:rsid w:val="00BD4B6C"/>
    <w:rsid w:val="00BE463C"/>
    <w:rsid w:val="00C37933"/>
    <w:rsid w:val="00C408C7"/>
    <w:rsid w:val="00C42D5C"/>
    <w:rsid w:val="00C47D24"/>
    <w:rsid w:val="00C47EEA"/>
    <w:rsid w:val="00C519D0"/>
    <w:rsid w:val="00C54476"/>
    <w:rsid w:val="00C627D8"/>
    <w:rsid w:val="00C64DEA"/>
    <w:rsid w:val="00C70ACB"/>
    <w:rsid w:val="00C97874"/>
    <w:rsid w:val="00CA4FEC"/>
    <w:rsid w:val="00CD7921"/>
    <w:rsid w:val="00CE084B"/>
    <w:rsid w:val="00CE4830"/>
    <w:rsid w:val="00CF66A2"/>
    <w:rsid w:val="00D02D57"/>
    <w:rsid w:val="00D03174"/>
    <w:rsid w:val="00D04EBA"/>
    <w:rsid w:val="00D118D6"/>
    <w:rsid w:val="00D12B7D"/>
    <w:rsid w:val="00D16F9E"/>
    <w:rsid w:val="00D20266"/>
    <w:rsid w:val="00D20C29"/>
    <w:rsid w:val="00D216E5"/>
    <w:rsid w:val="00D33842"/>
    <w:rsid w:val="00D47915"/>
    <w:rsid w:val="00D57D6E"/>
    <w:rsid w:val="00D6006C"/>
    <w:rsid w:val="00D61F5A"/>
    <w:rsid w:val="00D656C2"/>
    <w:rsid w:val="00D77D04"/>
    <w:rsid w:val="00D9135F"/>
    <w:rsid w:val="00D950C1"/>
    <w:rsid w:val="00D953F7"/>
    <w:rsid w:val="00D97A1D"/>
    <w:rsid w:val="00DB343E"/>
    <w:rsid w:val="00DB4C12"/>
    <w:rsid w:val="00DD0430"/>
    <w:rsid w:val="00DE48AB"/>
    <w:rsid w:val="00DF7E32"/>
    <w:rsid w:val="00E0081E"/>
    <w:rsid w:val="00E02094"/>
    <w:rsid w:val="00E10F4C"/>
    <w:rsid w:val="00E2419F"/>
    <w:rsid w:val="00E278B0"/>
    <w:rsid w:val="00E366D6"/>
    <w:rsid w:val="00E47684"/>
    <w:rsid w:val="00E63D8B"/>
    <w:rsid w:val="00E7695E"/>
    <w:rsid w:val="00E81F4B"/>
    <w:rsid w:val="00E96BA2"/>
    <w:rsid w:val="00EA11BE"/>
    <w:rsid w:val="00EB2939"/>
    <w:rsid w:val="00EB63F9"/>
    <w:rsid w:val="00EC644A"/>
    <w:rsid w:val="00EC6A3F"/>
    <w:rsid w:val="00ED1A54"/>
    <w:rsid w:val="00ED3D9B"/>
    <w:rsid w:val="00EE787D"/>
    <w:rsid w:val="00F30554"/>
    <w:rsid w:val="00F31CFE"/>
    <w:rsid w:val="00F348D2"/>
    <w:rsid w:val="00F42D5F"/>
    <w:rsid w:val="00F4448F"/>
    <w:rsid w:val="00F4485F"/>
    <w:rsid w:val="00F44B6A"/>
    <w:rsid w:val="00F451E1"/>
    <w:rsid w:val="00F521C7"/>
    <w:rsid w:val="00F60BF8"/>
    <w:rsid w:val="00F64863"/>
    <w:rsid w:val="00F70772"/>
    <w:rsid w:val="00F75106"/>
    <w:rsid w:val="00F77C0A"/>
    <w:rsid w:val="00F85848"/>
    <w:rsid w:val="00F90C87"/>
    <w:rsid w:val="00F960C1"/>
    <w:rsid w:val="00FA0331"/>
    <w:rsid w:val="00FC049C"/>
    <w:rsid w:val="00FC1C0E"/>
    <w:rsid w:val="00FC5ED8"/>
    <w:rsid w:val="00FE5BA7"/>
    <w:rsid w:val="00FE665D"/>
    <w:rsid w:val="00FF47B4"/>
    <w:rsid w:val="00FF7B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bCs/>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bCs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A708BE"/>
    <w:rPr>
      <w:rFonts w:ascii="Cambria" w:hAnsi="Cambria" w:cs="Cambria"/>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A708BE"/>
    <w:rPr>
      <w:rFonts w:ascii="Cambria" w:hAnsi="Cambria" w:cs="Cambria"/>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A708BE"/>
    <w:rPr>
      <w:rFonts w:ascii="Cambria" w:hAnsi="Cambria" w:cs="Cambria"/>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A708BE"/>
    <w:rPr>
      <w:rFonts w:ascii="Calibri" w:hAnsi="Calibri" w:cs="Calibri"/>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A708BE"/>
    <w:rPr>
      <w:rFonts w:ascii="Calibri" w:hAnsi="Calibri" w:cs="Calibri"/>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A708BE"/>
    <w:rPr>
      <w:rFonts w:ascii="Calibri" w:hAnsi="Calibri" w:cs="Calibri"/>
      <w:b/>
      <w:bCs/>
      <w:lang w:eastAsia="en-US"/>
    </w:rPr>
  </w:style>
  <w:style w:type="character" w:customStyle="1" w:styleId="Heading7Char">
    <w:name w:val="Heading 7 Char"/>
    <w:aliases w:val="Numbered - 7 Char"/>
    <w:basedOn w:val="DefaultParagraphFont"/>
    <w:link w:val="Heading7"/>
    <w:uiPriority w:val="99"/>
    <w:semiHidden/>
    <w:locked/>
    <w:rsid w:val="00A708BE"/>
    <w:rPr>
      <w:rFonts w:ascii="Calibri" w:hAnsi="Calibri" w:cs="Calibri"/>
      <w:sz w:val="24"/>
      <w:szCs w:val="24"/>
      <w:lang w:eastAsia="en-US"/>
    </w:rPr>
  </w:style>
  <w:style w:type="character" w:customStyle="1" w:styleId="Heading8Char">
    <w:name w:val="Heading 8 Char"/>
    <w:aliases w:val="Numbered - 8 Char"/>
    <w:basedOn w:val="DefaultParagraphFont"/>
    <w:link w:val="Heading8"/>
    <w:uiPriority w:val="99"/>
    <w:semiHidden/>
    <w:locked/>
    <w:rsid w:val="00A708BE"/>
    <w:rPr>
      <w:rFonts w:ascii="Calibri" w:hAnsi="Calibri" w:cs="Calibri"/>
      <w:i/>
      <w:iCs/>
      <w:sz w:val="24"/>
      <w:szCs w:val="24"/>
      <w:lang w:eastAsia="en-US"/>
    </w:rPr>
  </w:style>
  <w:style w:type="character" w:customStyle="1" w:styleId="Heading9Char">
    <w:name w:val="Heading 9 Char"/>
    <w:aliases w:val="Numbered - 9 Char"/>
    <w:basedOn w:val="DefaultParagraphFont"/>
    <w:link w:val="Heading9"/>
    <w:uiPriority w:val="99"/>
    <w:semiHidden/>
    <w:locked/>
    <w:rsid w:val="00A708BE"/>
    <w:rPr>
      <w:rFonts w:ascii="Cambria" w:hAnsi="Cambria" w:cs="Cambria"/>
      <w:lang w:eastAsia="en-US"/>
    </w:rPr>
  </w:style>
  <w:style w:type="paragraph" w:styleId="BodyText">
    <w:name w:val="Body Text"/>
    <w:basedOn w:val="Normal"/>
    <w:link w:val="BodyTextChar"/>
    <w:uiPriority w:val="99"/>
    <w:rsid w:val="00AF1C07"/>
  </w:style>
  <w:style w:type="character" w:customStyle="1" w:styleId="BodyTextChar">
    <w:name w:val="Body Text Char"/>
    <w:basedOn w:val="DefaultParagraphFont"/>
    <w:link w:val="BodyText"/>
    <w:uiPriority w:val="99"/>
    <w:semiHidden/>
    <w:locked/>
    <w:rsid w:val="00A708BE"/>
    <w:rPr>
      <w:rFonts w:ascii="Arial" w:hAnsi="Arial" w:cs="Arial"/>
      <w:sz w:val="24"/>
      <w:szCs w:val="24"/>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basedOn w:val="DefaultParagraphFont"/>
    <w:link w:val="BodyTextIndent"/>
    <w:uiPriority w:val="99"/>
    <w:semiHidden/>
    <w:locked/>
    <w:rsid w:val="00A708BE"/>
    <w:rPr>
      <w:rFonts w:ascii="Arial" w:hAnsi="Arial" w:cs="Arial"/>
      <w:sz w:val="24"/>
      <w:szCs w:val="24"/>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basedOn w:val="DefaultParagraphFont"/>
    <w:link w:val="Footer"/>
    <w:uiPriority w:val="99"/>
    <w:semiHidden/>
    <w:locked/>
    <w:rsid w:val="00A708BE"/>
    <w:rPr>
      <w:rFonts w:ascii="Arial" w:hAnsi="Arial" w:cs="Arial"/>
      <w:sz w:val="24"/>
      <w:szCs w:val="24"/>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basedOn w:val="DefaultParagraphFont"/>
    <w:link w:val="Header"/>
    <w:uiPriority w:val="99"/>
    <w:semiHidden/>
    <w:locked/>
    <w:rsid w:val="00A708BE"/>
    <w:rPr>
      <w:rFonts w:ascii="Arial" w:hAnsi="Arial" w:cs="Arial"/>
      <w:sz w:val="24"/>
      <w:szCs w:val="24"/>
      <w:lang w:eastAsia="en-US"/>
    </w:rPr>
  </w:style>
  <w:style w:type="paragraph" w:customStyle="1" w:styleId="Heading">
    <w:name w:val="Heading"/>
    <w:basedOn w:val="Normal"/>
    <w:next w:val="Normal"/>
    <w:uiPriority w:val="99"/>
    <w:rsid w:val="00AF1C07"/>
    <w:pPr>
      <w:keepNext/>
      <w:keepLines/>
      <w:spacing w:before="240" w:after="240"/>
      <w:ind w:left="-720"/>
    </w:pPr>
    <w:rPr>
      <w:b/>
      <w:bCs/>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basedOn w:val="DefaultParagraphFont"/>
    <w:uiPriority w:val="99"/>
    <w:rsid w:val="00AF1C07"/>
    <w:rPr>
      <w:rFonts w:cs="Times New Roman"/>
    </w:rPr>
  </w:style>
  <w:style w:type="character" w:customStyle="1" w:styleId="PersonalComposeStyle">
    <w:name w:val="Personal Compose Style"/>
    <w:basedOn w:val="DefaultParagraphFont"/>
    <w:uiPriority w:val="99"/>
    <w:rsid w:val="00AF1C07"/>
    <w:rPr>
      <w:rFonts w:ascii="Arial" w:hAnsi="Arial" w:cs="Arial"/>
      <w:color w:val="auto"/>
      <w:sz w:val="20"/>
      <w:szCs w:val="20"/>
    </w:rPr>
  </w:style>
  <w:style w:type="character" w:customStyle="1" w:styleId="PersonalReplyStyle">
    <w:name w:val="Personal Reply Style"/>
    <w:basedOn w:val="DefaultParagraphFont"/>
    <w:uiPriority w:val="99"/>
    <w:rsid w:val="00AF1C07"/>
    <w:rPr>
      <w:rFonts w:ascii="Arial" w:hAnsi="Arial" w:cs="Arial"/>
      <w:color w:val="auto"/>
      <w:sz w:val="20"/>
      <w:szCs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iCs/>
    </w:rPr>
  </w:style>
  <w:style w:type="character" w:customStyle="1" w:styleId="SubtitleChar">
    <w:name w:val="Subtitle Char"/>
    <w:basedOn w:val="DefaultParagraphFont"/>
    <w:link w:val="Subtitle"/>
    <w:uiPriority w:val="99"/>
    <w:locked/>
    <w:rsid w:val="00A708BE"/>
    <w:rPr>
      <w:rFonts w:ascii="Cambria" w:hAnsi="Cambria" w:cs="Cambria"/>
      <w:sz w:val="24"/>
      <w:szCs w:val="24"/>
      <w:lang w:eastAsia="en-US"/>
    </w:rPr>
  </w:style>
  <w:style w:type="paragraph" w:customStyle="1" w:styleId="DfESOutNumbered">
    <w:name w:val="DfESOutNumbered"/>
    <w:basedOn w:val="Normal"/>
    <w:uiPriority w:val="99"/>
    <w:rsid w:val="00AF1C07"/>
    <w:pPr>
      <w:numPr>
        <w:numId w:val="4"/>
      </w:numPr>
      <w:spacing w:after="240"/>
    </w:pPr>
    <w:rPr>
      <w:sz w:val="22"/>
      <w:szCs w:val="22"/>
    </w:rPr>
  </w:style>
  <w:style w:type="paragraph" w:customStyle="1" w:styleId="DfESBullets">
    <w:name w:val="DfESBullets"/>
    <w:basedOn w:val="Normal"/>
    <w:uiPriority w:val="99"/>
    <w:rsid w:val="00AF1C07"/>
    <w:pPr>
      <w:numPr>
        <w:numId w:val="5"/>
      </w:numPr>
      <w:spacing w:after="240"/>
    </w:pPr>
    <w:rPr>
      <w:sz w:val="22"/>
      <w:szCs w:val="22"/>
    </w:rPr>
  </w:style>
  <w:style w:type="paragraph" w:styleId="ListParagraph">
    <w:name w:val="List Paragraph"/>
    <w:basedOn w:val="Normal"/>
    <w:uiPriority w:val="99"/>
    <w:qFormat/>
    <w:rsid w:val="007463C5"/>
    <w:pPr>
      <w:ind w:left="720"/>
    </w:pPr>
  </w:style>
  <w:style w:type="table" w:styleId="TableGrid">
    <w:name w:val="Table Grid"/>
    <w:basedOn w:val="TableNormal"/>
    <w:uiPriority w:val="99"/>
    <w:rsid w:val="00F42D5F"/>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F6E7B"/>
    <w:rPr>
      <w:rFonts w:cs="Times New Roman"/>
      <w:color w:val="0000FF"/>
      <w:u w:val="single"/>
    </w:rPr>
  </w:style>
  <w:style w:type="paragraph" w:styleId="BalloonText">
    <w:name w:val="Balloon Text"/>
    <w:basedOn w:val="Normal"/>
    <w:link w:val="BalloonTextChar"/>
    <w:uiPriority w:val="99"/>
    <w:semiHidden/>
    <w:locked/>
    <w:rsid w:val="00733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33C32"/>
    <w:rPr>
      <w:rFonts w:ascii="Lucida Grande" w:hAnsi="Lucida Grande" w:cs="Lucida Grande"/>
      <w:sz w:val="18"/>
      <w:szCs w:val="18"/>
      <w:lang w:eastAsia="en-US"/>
    </w:rPr>
  </w:style>
  <w:style w:type="character" w:styleId="CommentReference">
    <w:name w:val="annotation reference"/>
    <w:basedOn w:val="DefaultParagraphFont"/>
    <w:uiPriority w:val="99"/>
    <w:semiHidden/>
    <w:locked/>
    <w:rsid w:val="00733C32"/>
    <w:rPr>
      <w:rFonts w:cs="Times New Roman"/>
      <w:sz w:val="18"/>
      <w:szCs w:val="18"/>
    </w:rPr>
  </w:style>
  <w:style w:type="paragraph" w:styleId="CommentText">
    <w:name w:val="annotation text"/>
    <w:basedOn w:val="Normal"/>
    <w:link w:val="CommentTextChar"/>
    <w:uiPriority w:val="99"/>
    <w:semiHidden/>
    <w:locked/>
    <w:rsid w:val="00733C32"/>
  </w:style>
  <w:style w:type="character" w:customStyle="1" w:styleId="CommentTextChar">
    <w:name w:val="Comment Text Char"/>
    <w:basedOn w:val="DefaultParagraphFont"/>
    <w:link w:val="CommentText"/>
    <w:uiPriority w:val="99"/>
    <w:semiHidden/>
    <w:locked/>
    <w:rsid w:val="00733C32"/>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locked/>
    <w:rsid w:val="00733C32"/>
    <w:rPr>
      <w:b/>
      <w:bCs/>
      <w:sz w:val="20"/>
      <w:szCs w:val="20"/>
    </w:rPr>
  </w:style>
  <w:style w:type="character" w:customStyle="1" w:styleId="CommentSubjectChar">
    <w:name w:val="Comment Subject Char"/>
    <w:basedOn w:val="CommentTextChar"/>
    <w:link w:val="CommentSubject"/>
    <w:uiPriority w:val="99"/>
    <w:semiHidden/>
    <w:locked/>
    <w:rsid w:val="00733C32"/>
    <w:rPr>
      <w:b/>
      <w:bCs/>
      <w:sz w:val="20"/>
      <w:szCs w:val="20"/>
    </w:rPr>
  </w:style>
  <w:style w:type="character" w:customStyle="1" w:styleId="PlainTextChar">
    <w:name w:val="Plain Text Char"/>
    <w:basedOn w:val="DefaultParagraphFont"/>
    <w:link w:val="PlainText"/>
    <w:uiPriority w:val="99"/>
    <w:semiHidden/>
    <w:locked/>
    <w:rsid w:val="001108BC"/>
    <w:rPr>
      <w:rFonts w:ascii="Arial" w:hAnsi="Arial" w:cs="Arial"/>
      <w:sz w:val="21"/>
      <w:szCs w:val="21"/>
      <w:lang w:eastAsia="en-GB"/>
    </w:rPr>
  </w:style>
  <w:style w:type="paragraph" w:styleId="PlainText">
    <w:name w:val="Plain Text"/>
    <w:basedOn w:val="Normal"/>
    <w:link w:val="PlainTextChar"/>
    <w:uiPriority w:val="99"/>
    <w:semiHidden/>
    <w:locked/>
    <w:rsid w:val="001108BC"/>
    <w:pPr>
      <w:widowControl/>
      <w:overflowPunct/>
      <w:autoSpaceDE/>
      <w:autoSpaceDN/>
      <w:adjustRightInd/>
      <w:textAlignment w:val="auto"/>
    </w:pPr>
    <w:rPr>
      <w:sz w:val="20"/>
      <w:szCs w:val="20"/>
      <w:lang w:eastAsia="en-GB"/>
    </w:rPr>
  </w:style>
  <w:style w:type="character" w:customStyle="1" w:styleId="PlainTextChar1">
    <w:name w:val="Plain Text Char1"/>
    <w:basedOn w:val="DefaultParagraphFont"/>
    <w:link w:val="PlainText"/>
    <w:uiPriority w:val="99"/>
    <w:semiHidden/>
    <w:locked/>
    <w:rsid w:val="00AF53AE"/>
    <w:rPr>
      <w:rFonts w:ascii="Courier New" w:hAnsi="Courier New" w:cs="Courier New"/>
      <w:sz w:val="20"/>
      <w:szCs w:val="20"/>
      <w:lang w:eastAsia="en-US"/>
    </w:rPr>
  </w:style>
  <w:style w:type="paragraph" w:customStyle="1" w:styleId="msolistparagraph0">
    <w:name w:val="msolistparagraph"/>
    <w:basedOn w:val="Normal"/>
    <w:uiPriority w:val="99"/>
    <w:rsid w:val="001747AF"/>
    <w:pPr>
      <w:widowControl/>
      <w:overflowPunct/>
      <w:autoSpaceDE/>
      <w:autoSpaceDN/>
      <w:adjustRightInd/>
      <w:ind w:left="720"/>
      <w:textAlignment w:val="auto"/>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81111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adkat@trow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801</Words>
  <Characters>4567</Characters>
  <Application>Microsoft Office Word</Application>
  <DocSecurity>0</DocSecurity>
  <Lines>38</Lines>
  <Paragraphs>10</Paragraphs>
  <ScaleCrop>false</ScaleCrop>
  <Company>DfE</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TERMS: COMMUNITY USE AGREEMENT (CUA)</dc:title>
  <dc:subject/>
  <dc:creator>NOBLE, Amanda-PfS</dc:creator>
  <cp:keywords/>
  <dc:description/>
  <cp:lastModifiedBy>andersoj</cp:lastModifiedBy>
  <cp:revision>38</cp:revision>
  <cp:lastPrinted>2013-06-14T11:43:00Z</cp:lastPrinted>
  <dcterms:created xsi:type="dcterms:W3CDTF">2014-04-08T09:09:00Z</dcterms:created>
  <dcterms:modified xsi:type="dcterms:W3CDTF">2014-04-08T14:41:00Z</dcterms:modified>
</cp:coreProperties>
</file>